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9BF97" w14:textId="77777777" w:rsidR="008867FC" w:rsidRPr="00D1652A" w:rsidRDefault="008867FC" w:rsidP="009F175B">
      <w:pPr>
        <w:jc w:val="center"/>
        <w:rPr>
          <w:b/>
          <w:sz w:val="22"/>
          <w:szCs w:val="22"/>
          <w:u w:val="single"/>
        </w:rPr>
      </w:pPr>
    </w:p>
    <w:p w14:paraId="2BCB4226" w14:textId="77777777" w:rsidR="006C6030" w:rsidRPr="00D340CE" w:rsidRDefault="008867FC" w:rsidP="009F175B">
      <w:pPr>
        <w:jc w:val="center"/>
        <w:rPr>
          <w:b/>
          <w:sz w:val="32"/>
          <w:szCs w:val="32"/>
          <w:u w:val="single"/>
        </w:rPr>
      </w:pPr>
      <w:r>
        <w:rPr>
          <w:b/>
          <w:sz w:val="32"/>
          <w:szCs w:val="32"/>
          <w:u w:val="single"/>
        </w:rPr>
        <w:t xml:space="preserve">Fulfilling the Promise of </w:t>
      </w:r>
      <w:proofErr w:type="gramStart"/>
      <w:r w:rsidR="006C6030" w:rsidRPr="00D340CE">
        <w:rPr>
          <w:b/>
          <w:sz w:val="32"/>
          <w:szCs w:val="32"/>
          <w:u w:val="single"/>
        </w:rPr>
        <w:t>A</w:t>
      </w:r>
      <w:proofErr w:type="gramEnd"/>
      <w:r w:rsidR="006C6030" w:rsidRPr="00D340CE">
        <w:rPr>
          <w:b/>
          <w:sz w:val="32"/>
          <w:szCs w:val="32"/>
          <w:u w:val="single"/>
        </w:rPr>
        <w:t xml:space="preserve"> Connected America</w:t>
      </w:r>
    </w:p>
    <w:p w14:paraId="68AD282F" w14:textId="77777777" w:rsidR="006C6030" w:rsidRPr="00D1652A" w:rsidRDefault="006C6030" w:rsidP="009F175B">
      <w:pPr>
        <w:rPr>
          <w:sz w:val="22"/>
          <w:szCs w:val="22"/>
        </w:rPr>
      </w:pPr>
    </w:p>
    <w:p w14:paraId="1B924491" w14:textId="60C83FEA" w:rsidR="006C6030" w:rsidRDefault="00FC7CDF" w:rsidP="009F175B">
      <w:pPr>
        <w:numPr>
          <w:ilvl w:val="0"/>
          <w:numId w:val="1"/>
        </w:numPr>
        <w:rPr>
          <w:b/>
          <w:sz w:val="22"/>
          <w:szCs w:val="22"/>
        </w:rPr>
      </w:pPr>
      <w:r w:rsidRPr="00517CA0">
        <w:rPr>
          <w:b/>
          <w:sz w:val="22"/>
          <w:szCs w:val="22"/>
        </w:rPr>
        <w:t xml:space="preserve">Fully fund and implement </w:t>
      </w:r>
      <w:r w:rsidR="00D77518">
        <w:rPr>
          <w:b/>
          <w:sz w:val="22"/>
          <w:szCs w:val="22"/>
        </w:rPr>
        <w:t xml:space="preserve">the </w:t>
      </w:r>
      <w:r w:rsidRPr="00517CA0">
        <w:rPr>
          <w:b/>
          <w:sz w:val="22"/>
          <w:szCs w:val="22"/>
        </w:rPr>
        <w:t>passenger rail programs created by the FAST Act.</w:t>
      </w:r>
    </w:p>
    <w:p w14:paraId="3D23FA82" w14:textId="4045B178" w:rsidR="00D77518" w:rsidRPr="00537116" w:rsidRDefault="00537116" w:rsidP="00537116">
      <w:pPr>
        <w:numPr>
          <w:ilvl w:val="0"/>
          <w:numId w:val="1"/>
        </w:numPr>
        <w:rPr>
          <w:b/>
          <w:sz w:val="22"/>
          <w:szCs w:val="22"/>
        </w:rPr>
      </w:pPr>
      <w:bookmarkStart w:id="0" w:name="_GoBack"/>
      <w:r>
        <w:rPr>
          <w:b/>
          <w:sz w:val="22"/>
          <w:szCs w:val="22"/>
        </w:rPr>
        <w:t>Pass a multimodal infrastructure bill that addresses the deficit in transportation investment</w:t>
      </w:r>
    </w:p>
    <w:bookmarkEnd w:id="0"/>
    <w:p w14:paraId="10FF5312" w14:textId="5D49517E" w:rsidR="006C6030" w:rsidRPr="00517CA0" w:rsidRDefault="00D77518" w:rsidP="009F175B">
      <w:pPr>
        <w:numPr>
          <w:ilvl w:val="0"/>
          <w:numId w:val="1"/>
        </w:numPr>
        <w:rPr>
          <w:b/>
          <w:sz w:val="22"/>
          <w:szCs w:val="22"/>
        </w:rPr>
      </w:pPr>
      <w:r>
        <w:rPr>
          <w:b/>
          <w:sz w:val="22"/>
          <w:szCs w:val="22"/>
        </w:rPr>
        <w:t>Make</w:t>
      </w:r>
      <w:r w:rsidR="006C6030" w:rsidRPr="00517CA0">
        <w:rPr>
          <w:b/>
          <w:sz w:val="22"/>
          <w:szCs w:val="22"/>
        </w:rPr>
        <w:t xml:space="preserve"> modern passenger rail service </w:t>
      </w:r>
      <w:r>
        <w:rPr>
          <w:b/>
          <w:sz w:val="22"/>
          <w:szCs w:val="22"/>
        </w:rPr>
        <w:t xml:space="preserve">available </w:t>
      </w:r>
      <w:r w:rsidR="006C6030" w:rsidRPr="00517CA0">
        <w:rPr>
          <w:b/>
          <w:sz w:val="22"/>
          <w:szCs w:val="22"/>
        </w:rPr>
        <w:t xml:space="preserve">within 25 miles of 80% of Americans in 25 years. </w:t>
      </w:r>
    </w:p>
    <w:p w14:paraId="7D48D87C" w14:textId="2F76C95E" w:rsidR="00D77518" w:rsidRPr="00EF3982" w:rsidRDefault="00FC7CDF" w:rsidP="00BA119F">
      <w:pPr>
        <w:rPr>
          <w:sz w:val="16"/>
          <w:szCs w:val="16"/>
        </w:rPr>
      </w:pPr>
      <w:r w:rsidRPr="00D1652A">
        <w:rPr>
          <w:sz w:val="16"/>
          <w:szCs w:val="16"/>
        </w:rPr>
        <w:t xml:space="preserve"> </w:t>
      </w:r>
    </w:p>
    <w:tbl>
      <w:tblPr>
        <w:tblW w:w="10149" w:type="dxa"/>
        <w:tblInd w:w="108" w:type="dxa"/>
        <w:tblLayout w:type="fixed"/>
        <w:tblLook w:val="04A0" w:firstRow="1" w:lastRow="0" w:firstColumn="1" w:lastColumn="0" w:noHBand="0" w:noVBand="1"/>
      </w:tblPr>
      <w:tblGrid>
        <w:gridCol w:w="1292"/>
        <w:gridCol w:w="994"/>
        <w:gridCol w:w="1093"/>
        <w:gridCol w:w="1057"/>
        <w:gridCol w:w="1243"/>
        <w:gridCol w:w="1087"/>
        <w:gridCol w:w="1187"/>
        <w:gridCol w:w="1082"/>
        <w:gridCol w:w="1093"/>
        <w:gridCol w:w="21"/>
      </w:tblGrid>
      <w:tr w:rsidR="00EF3982" w14:paraId="4F93409E" w14:textId="77777777" w:rsidTr="00EF3982">
        <w:trPr>
          <w:trHeight w:val="56"/>
        </w:trPr>
        <w:tc>
          <w:tcPr>
            <w:tcW w:w="1292" w:type="dxa"/>
            <w:tcBorders>
              <w:top w:val="nil"/>
              <w:left w:val="nil"/>
              <w:bottom w:val="nil"/>
              <w:right w:val="nil"/>
            </w:tcBorders>
            <w:shd w:val="clear" w:color="auto" w:fill="auto"/>
            <w:vAlign w:val="bottom"/>
            <w:hideMark/>
          </w:tcPr>
          <w:p w14:paraId="02226EED" w14:textId="77777777" w:rsidR="00EF3982" w:rsidRDefault="00EF3982">
            <w:pPr>
              <w:rPr>
                <w:sz w:val="20"/>
                <w:szCs w:val="20"/>
              </w:rPr>
            </w:pPr>
          </w:p>
        </w:tc>
        <w:tc>
          <w:tcPr>
            <w:tcW w:w="8857" w:type="dxa"/>
            <w:gridSpan w:val="9"/>
            <w:tcBorders>
              <w:top w:val="nil"/>
              <w:left w:val="nil"/>
              <w:bottom w:val="single" w:sz="8" w:space="0" w:color="auto"/>
              <w:right w:val="nil"/>
            </w:tcBorders>
            <w:shd w:val="clear" w:color="auto" w:fill="auto"/>
            <w:vAlign w:val="center"/>
            <w:hideMark/>
          </w:tcPr>
          <w:p w14:paraId="7E0637AF" w14:textId="2531A28B" w:rsidR="00EF3982" w:rsidRDefault="000A0B8F">
            <w:pPr>
              <w:jc w:val="center"/>
              <w:rPr>
                <w:rFonts w:ascii="Calibri" w:hAnsi="Calibri"/>
                <w:b/>
                <w:bCs/>
                <w:color w:val="000000"/>
                <w:sz w:val="22"/>
                <w:szCs w:val="22"/>
              </w:rPr>
            </w:pPr>
            <w:r>
              <w:rPr>
                <w:rFonts w:ascii="Calibri" w:hAnsi="Calibri"/>
                <w:b/>
                <w:bCs/>
                <w:color w:val="000000"/>
                <w:sz w:val="22"/>
                <w:szCs w:val="22"/>
              </w:rPr>
              <w:t xml:space="preserve">Federal </w:t>
            </w:r>
            <w:r w:rsidR="00EF3982">
              <w:rPr>
                <w:rFonts w:ascii="Calibri" w:hAnsi="Calibri"/>
                <w:b/>
                <w:bCs/>
                <w:color w:val="000000"/>
                <w:sz w:val="22"/>
                <w:szCs w:val="22"/>
              </w:rPr>
              <w:t>Passenger Rail Funding (in millions)</w:t>
            </w:r>
          </w:p>
        </w:tc>
      </w:tr>
      <w:tr w:rsidR="00EF3982" w:rsidRPr="00EF3982" w14:paraId="3FE50E7F" w14:textId="77777777" w:rsidTr="00EF3982">
        <w:trPr>
          <w:gridAfter w:val="1"/>
          <w:wAfter w:w="21" w:type="dxa"/>
          <w:trHeight w:val="1147"/>
        </w:trPr>
        <w:tc>
          <w:tcPr>
            <w:tcW w:w="1292" w:type="dxa"/>
            <w:tcBorders>
              <w:top w:val="nil"/>
              <w:left w:val="nil"/>
              <w:bottom w:val="nil"/>
              <w:right w:val="nil"/>
            </w:tcBorders>
            <w:shd w:val="clear" w:color="auto" w:fill="auto"/>
            <w:vAlign w:val="bottom"/>
            <w:hideMark/>
          </w:tcPr>
          <w:p w14:paraId="5F22CA88" w14:textId="77777777" w:rsidR="00EF3982" w:rsidRPr="00EF3982" w:rsidRDefault="00EF3982">
            <w:pPr>
              <w:jc w:val="center"/>
              <w:rPr>
                <w:rFonts w:ascii="Calibri" w:hAnsi="Calibri"/>
                <w:b/>
                <w:bCs/>
                <w:color w:val="000000"/>
                <w:sz w:val="16"/>
                <w:szCs w:val="16"/>
              </w:rPr>
            </w:pPr>
          </w:p>
        </w:tc>
        <w:tc>
          <w:tcPr>
            <w:tcW w:w="994" w:type="dxa"/>
            <w:tcBorders>
              <w:top w:val="nil"/>
              <w:left w:val="single" w:sz="8" w:space="0" w:color="auto"/>
              <w:bottom w:val="single" w:sz="8" w:space="0" w:color="auto"/>
              <w:right w:val="single" w:sz="8" w:space="0" w:color="auto"/>
            </w:tcBorders>
            <w:shd w:val="clear" w:color="000000" w:fill="ACB9CA"/>
            <w:vAlign w:val="center"/>
            <w:hideMark/>
          </w:tcPr>
          <w:p w14:paraId="54C0BB24"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Fiscal Year 2016</w:t>
            </w:r>
          </w:p>
        </w:tc>
        <w:tc>
          <w:tcPr>
            <w:tcW w:w="1093" w:type="dxa"/>
            <w:tcBorders>
              <w:top w:val="nil"/>
              <w:left w:val="nil"/>
              <w:bottom w:val="single" w:sz="8" w:space="0" w:color="auto"/>
              <w:right w:val="single" w:sz="8" w:space="0" w:color="auto"/>
            </w:tcBorders>
            <w:shd w:val="clear" w:color="000000" w:fill="ACB9CA"/>
            <w:vAlign w:val="center"/>
            <w:hideMark/>
          </w:tcPr>
          <w:p w14:paraId="00D837F6"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FAST Act FY2017 Authorized Levels</w:t>
            </w:r>
          </w:p>
        </w:tc>
        <w:tc>
          <w:tcPr>
            <w:tcW w:w="1057" w:type="dxa"/>
            <w:tcBorders>
              <w:top w:val="nil"/>
              <w:left w:val="nil"/>
              <w:bottom w:val="single" w:sz="8" w:space="0" w:color="auto"/>
              <w:right w:val="single" w:sz="8" w:space="0" w:color="auto"/>
            </w:tcBorders>
            <w:shd w:val="clear" w:color="000000" w:fill="ACB9CA"/>
            <w:vAlign w:val="center"/>
            <w:hideMark/>
          </w:tcPr>
          <w:p w14:paraId="01E790B8"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Senate THUD FY2017 Proposed Levels</w:t>
            </w:r>
          </w:p>
        </w:tc>
        <w:tc>
          <w:tcPr>
            <w:tcW w:w="1243" w:type="dxa"/>
            <w:tcBorders>
              <w:top w:val="nil"/>
              <w:left w:val="nil"/>
              <w:bottom w:val="single" w:sz="8" w:space="0" w:color="auto"/>
              <w:right w:val="single" w:sz="8" w:space="0" w:color="auto"/>
            </w:tcBorders>
            <w:shd w:val="clear" w:color="000000" w:fill="ACB9CA"/>
            <w:vAlign w:val="center"/>
            <w:hideMark/>
          </w:tcPr>
          <w:p w14:paraId="2BA786BD"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House THUD FY2017 Proposed Levels</w:t>
            </w:r>
          </w:p>
        </w:tc>
        <w:tc>
          <w:tcPr>
            <w:tcW w:w="1087" w:type="dxa"/>
            <w:tcBorders>
              <w:top w:val="nil"/>
              <w:left w:val="nil"/>
              <w:bottom w:val="single" w:sz="8" w:space="0" w:color="auto"/>
              <w:right w:val="single" w:sz="8" w:space="0" w:color="auto"/>
            </w:tcBorders>
            <w:shd w:val="clear" w:color="000000" w:fill="ACB9CA"/>
            <w:vAlign w:val="center"/>
            <w:hideMark/>
          </w:tcPr>
          <w:p w14:paraId="00153926" w14:textId="5857C5B4" w:rsidR="00EF3982" w:rsidRPr="000A0B8F" w:rsidRDefault="000A0B8F">
            <w:pPr>
              <w:jc w:val="center"/>
              <w:rPr>
                <w:rFonts w:ascii="Calibri" w:hAnsi="Calibri"/>
                <w:b/>
                <w:bCs/>
                <w:color w:val="000000"/>
                <w:sz w:val="18"/>
                <w:szCs w:val="18"/>
              </w:rPr>
            </w:pPr>
            <w:r w:rsidRPr="000A0B8F">
              <w:rPr>
                <w:rFonts w:ascii="Calibri" w:hAnsi="Calibri"/>
                <w:b/>
                <w:bCs/>
                <w:color w:val="000000"/>
                <w:sz w:val="18"/>
                <w:szCs w:val="18"/>
              </w:rPr>
              <w:t>Continuing</w:t>
            </w:r>
            <w:r w:rsidR="00EF3982" w:rsidRPr="000A0B8F">
              <w:rPr>
                <w:rFonts w:ascii="Calibri" w:hAnsi="Calibri"/>
                <w:b/>
                <w:bCs/>
                <w:color w:val="000000"/>
                <w:sz w:val="18"/>
                <w:szCs w:val="18"/>
              </w:rPr>
              <w:t xml:space="preserve"> Resolution FY2017 Enacted Levels </w:t>
            </w:r>
          </w:p>
        </w:tc>
        <w:tc>
          <w:tcPr>
            <w:tcW w:w="1187" w:type="dxa"/>
            <w:tcBorders>
              <w:top w:val="nil"/>
              <w:left w:val="nil"/>
              <w:bottom w:val="single" w:sz="8" w:space="0" w:color="auto"/>
              <w:right w:val="single" w:sz="8" w:space="0" w:color="auto"/>
            </w:tcBorders>
            <w:shd w:val="clear" w:color="000000" w:fill="ACB9CA"/>
            <w:vAlign w:val="center"/>
            <w:hideMark/>
          </w:tcPr>
          <w:p w14:paraId="493E16E9"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FAST Act FY2018 Authorized Levels</w:t>
            </w:r>
          </w:p>
        </w:tc>
        <w:tc>
          <w:tcPr>
            <w:tcW w:w="1082" w:type="dxa"/>
            <w:tcBorders>
              <w:top w:val="nil"/>
              <w:left w:val="nil"/>
              <w:bottom w:val="single" w:sz="8" w:space="0" w:color="auto"/>
              <w:right w:val="single" w:sz="8" w:space="0" w:color="auto"/>
            </w:tcBorders>
            <w:shd w:val="clear" w:color="000000" w:fill="ACB9CA"/>
            <w:vAlign w:val="center"/>
            <w:hideMark/>
          </w:tcPr>
          <w:p w14:paraId="6E01B3A6"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FAST Act FY2019 Authorized Levels</w:t>
            </w:r>
          </w:p>
        </w:tc>
        <w:tc>
          <w:tcPr>
            <w:tcW w:w="1093" w:type="dxa"/>
            <w:tcBorders>
              <w:top w:val="nil"/>
              <w:left w:val="nil"/>
              <w:bottom w:val="single" w:sz="8" w:space="0" w:color="auto"/>
              <w:right w:val="single" w:sz="8" w:space="0" w:color="auto"/>
            </w:tcBorders>
            <w:shd w:val="clear" w:color="000000" w:fill="ACB9CA"/>
            <w:vAlign w:val="center"/>
            <w:hideMark/>
          </w:tcPr>
          <w:p w14:paraId="5255C7F6"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FAST Act FY2020 Authorized Levels</w:t>
            </w:r>
          </w:p>
        </w:tc>
      </w:tr>
      <w:tr w:rsidR="00EF3982" w:rsidRPr="00EF3982" w14:paraId="7DAC45EE" w14:textId="77777777" w:rsidTr="00EF3982">
        <w:trPr>
          <w:gridAfter w:val="1"/>
          <w:wAfter w:w="21" w:type="dxa"/>
          <w:trHeight w:val="297"/>
        </w:trPr>
        <w:tc>
          <w:tcPr>
            <w:tcW w:w="1292"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5169E7B7" w14:textId="77777777" w:rsidR="00EF3982" w:rsidRPr="000A0B8F" w:rsidRDefault="00EF3982">
            <w:pPr>
              <w:rPr>
                <w:rFonts w:ascii="Calibri" w:hAnsi="Calibri"/>
                <w:b/>
                <w:bCs/>
                <w:color w:val="000000"/>
                <w:sz w:val="18"/>
                <w:szCs w:val="18"/>
              </w:rPr>
            </w:pPr>
            <w:r w:rsidRPr="000A0B8F">
              <w:rPr>
                <w:rFonts w:ascii="Calibri" w:hAnsi="Calibri"/>
                <w:b/>
                <w:bCs/>
                <w:color w:val="000000"/>
                <w:sz w:val="18"/>
                <w:szCs w:val="18"/>
              </w:rPr>
              <w:t>Program</w:t>
            </w:r>
          </w:p>
        </w:tc>
        <w:tc>
          <w:tcPr>
            <w:tcW w:w="994" w:type="dxa"/>
            <w:tcBorders>
              <w:top w:val="nil"/>
              <w:left w:val="nil"/>
              <w:bottom w:val="single" w:sz="8" w:space="0" w:color="auto"/>
              <w:right w:val="single" w:sz="8" w:space="0" w:color="auto"/>
            </w:tcBorders>
            <w:shd w:val="clear" w:color="000000" w:fill="BDD7EE"/>
            <w:vAlign w:val="center"/>
            <w:hideMark/>
          </w:tcPr>
          <w:p w14:paraId="66EB3F8E"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 </w:t>
            </w:r>
          </w:p>
        </w:tc>
        <w:tc>
          <w:tcPr>
            <w:tcW w:w="1093" w:type="dxa"/>
            <w:tcBorders>
              <w:top w:val="nil"/>
              <w:left w:val="nil"/>
              <w:bottom w:val="single" w:sz="8" w:space="0" w:color="auto"/>
              <w:right w:val="single" w:sz="8" w:space="0" w:color="auto"/>
            </w:tcBorders>
            <w:shd w:val="clear" w:color="000000" w:fill="BDD7EE"/>
            <w:vAlign w:val="center"/>
            <w:hideMark/>
          </w:tcPr>
          <w:p w14:paraId="69F20FE3"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 </w:t>
            </w:r>
          </w:p>
        </w:tc>
        <w:tc>
          <w:tcPr>
            <w:tcW w:w="1057" w:type="dxa"/>
            <w:tcBorders>
              <w:top w:val="nil"/>
              <w:left w:val="nil"/>
              <w:bottom w:val="single" w:sz="8" w:space="0" w:color="auto"/>
              <w:right w:val="single" w:sz="8" w:space="0" w:color="auto"/>
            </w:tcBorders>
            <w:shd w:val="clear" w:color="000000" w:fill="BDD7EE"/>
            <w:vAlign w:val="center"/>
            <w:hideMark/>
          </w:tcPr>
          <w:p w14:paraId="0658677D"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 </w:t>
            </w:r>
          </w:p>
        </w:tc>
        <w:tc>
          <w:tcPr>
            <w:tcW w:w="1243" w:type="dxa"/>
            <w:tcBorders>
              <w:top w:val="nil"/>
              <w:left w:val="nil"/>
              <w:bottom w:val="single" w:sz="8" w:space="0" w:color="auto"/>
              <w:right w:val="single" w:sz="8" w:space="0" w:color="auto"/>
            </w:tcBorders>
            <w:shd w:val="clear" w:color="000000" w:fill="BDD7EE"/>
            <w:vAlign w:val="center"/>
            <w:hideMark/>
          </w:tcPr>
          <w:p w14:paraId="0886C8BB"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 </w:t>
            </w:r>
          </w:p>
        </w:tc>
        <w:tc>
          <w:tcPr>
            <w:tcW w:w="1087" w:type="dxa"/>
            <w:tcBorders>
              <w:top w:val="nil"/>
              <w:left w:val="nil"/>
              <w:bottom w:val="single" w:sz="8" w:space="0" w:color="auto"/>
              <w:right w:val="single" w:sz="8" w:space="0" w:color="auto"/>
            </w:tcBorders>
            <w:shd w:val="clear" w:color="000000" w:fill="BDD7EE"/>
            <w:noWrap/>
            <w:vAlign w:val="bottom"/>
            <w:hideMark/>
          </w:tcPr>
          <w:p w14:paraId="70F27E24" w14:textId="77777777" w:rsidR="00EF3982" w:rsidRPr="000A0B8F" w:rsidRDefault="00EF3982">
            <w:pPr>
              <w:rPr>
                <w:rFonts w:ascii="Calibri" w:hAnsi="Calibri"/>
                <w:color w:val="000000"/>
                <w:sz w:val="18"/>
                <w:szCs w:val="18"/>
              </w:rPr>
            </w:pPr>
            <w:r w:rsidRPr="000A0B8F">
              <w:rPr>
                <w:rFonts w:ascii="Calibri" w:hAnsi="Calibri"/>
                <w:color w:val="000000"/>
                <w:sz w:val="18"/>
                <w:szCs w:val="18"/>
              </w:rPr>
              <w:t> </w:t>
            </w:r>
          </w:p>
        </w:tc>
        <w:tc>
          <w:tcPr>
            <w:tcW w:w="1187" w:type="dxa"/>
            <w:tcBorders>
              <w:top w:val="nil"/>
              <w:left w:val="nil"/>
              <w:bottom w:val="single" w:sz="8" w:space="0" w:color="auto"/>
              <w:right w:val="single" w:sz="8" w:space="0" w:color="auto"/>
            </w:tcBorders>
            <w:shd w:val="clear" w:color="000000" w:fill="BDD7EE"/>
            <w:vAlign w:val="center"/>
            <w:hideMark/>
          </w:tcPr>
          <w:p w14:paraId="21DE169A"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 </w:t>
            </w:r>
          </w:p>
        </w:tc>
        <w:tc>
          <w:tcPr>
            <w:tcW w:w="1082" w:type="dxa"/>
            <w:tcBorders>
              <w:top w:val="nil"/>
              <w:left w:val="nil"/>
              <w:bottom w:val="single" w:sz="8" w:space="0" w:color="auto"/>
              <w:right w:val="single" w:sz="8" w:space="0" w:color="auto"/>
            </w:tcBorders>
            <w:shd w:val="clear" w:color="000000" w:fill="BDD7EE"/>
            <w:vAlign w:val="center"/>
            <w:hideMark/>
          </w:tcPr>
          <w:p w14:paraId="6015DE98"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 </w:t>
            </w:r>
          </w:p>
        </w:tc>
        <w:tc>
          <w:tcPr>
            <w:tcW w:w="1093" w:type="dxa"/>
            <w:tcBorders>
              <w:top w:val="nil"/>
              <w:left w:val="nil"/>
              <w:bottom w:val="single" w:sz="8" w:space="0" w:color="auto"/>
              <w:right w:val="single" w:sz="8" w:space="0" w:color="auto"/>
            </w:tcBorders>
            <w:shd w:val="clear" w:color="000000" w:fill="BDD7EE"/>
            <w:vAlign w:val="center"/>
            <w:hideMark/>
          </w:tcPr>
          <w:p w14:paraId="42096674"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 </w:t>
            </w:r>
          </w:p>
        </w:tc>
      </w:tr>
      <w:tr w:rsidR="00EF3982" w:rsidRPr="00EF3982" w14:paraId="0869DEDB" w14:textId="77777777" w:rsidTr="00EF3982">
        <w:trPr>
          <w:gridAfter w:val="1"/>
          <w:wAfter w:w="21" w:type="dxa"/>
          <w:trHeight w:val="312"/>
        </w:trPr>
        <w:tc>
          <w:tcPr>
            <w:tcW w:w="1292" w:type="dxa"/>
            <w:tcBorders>
              <w:top w:val="nil"/>
              <w:left w:val="single" w:sz="8" w:space="0" w:color="auto"/>
              <w:bottom w:val="single" w:sz="8" w:space="0" w:color="auto"/>
              <w:right w:val="single" w:sz="8" w:space="0" w:color="auto"/>
            </w:tcBorders>
            <w:shd w:val="clear" w:color="000000" w:fill="D9E1F2"/>
            <w:vAlign w:val="center"/>
            <w:hideMark/>
          </w:tcPr>
          <w:p w14:paraId="5503BAD7" w14:textId="77777777" w:rsidR="00EF3982" w:rsidRPr="000A0B8F" w:rsidRDefault="00EF3982">
            <w:pPr>
              <w:rPr>
                <w:rFonts w:ascii="Calibri" w:hAnsi="Calibri"/>
                <w:color w:val="000000"/>
                <w:sz w:val="18"/>
                <w:szCs w:val="18"/>
              </w:rPr>
            </w:pPr>
            <w:r w:rsidRPr="000A0B8F">
              <w:rPr>
                <w:rFonts w:ascii="Calibri" w:hAnsi="Calibri"/>
                <w:color w:val="000000"/>
                <w:sz w:val="18"/>
                <w:szCs w:val="18"/>
              </w:rPr>
              <w:t>Amtrak – General Operating</w:t>
            </w:r>
          </w:p>
        </w:tc>
        <w:tc>
          <w:tcPr>
            <w:tcW w:w="994" w:type="dxa"/>
            <w:tcBorders>
              <w:top w:val="nil"/>
              <w:left w:val="nil"/>
              <w:bottom w:val="single" w:sz="8" w:space="0" w:color="auto"/>
              <w:right w:val="single" w:sz="8" w:space="0" w:color="auto"/>
            </w:tcBorders>
            <w:shd w:val="clear" w:color="auto" w:fill="auto"/>
            <w:vAlign w:val="center"/>
            <w:hideMark/>
          </w:tcPr>
          <w:p w14:paraId="0B239BDB"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$288.5</w:t>
            </w:r>
          </w:p>
        </w:tc>
        <w:tc>
          <w:tcPr>
            <w:tcW w:w="1093" w:type="dxa"/>
            <w:tcBorders>
              <w:top w:val="nil"/>
              <w:left w:val="nil"/>
              <w:bottom w:val="single" w:sz="8" w:space="0" w:color="auto"/>
              <w:right w:val="single" w:sz="8" w:space="0" w:color="auto"/>
            </w:tcBorders>
            <w:shd w:val="clear" w:color="auto" w:fill="auto"/>
            <w:noWrap/>
            <w:vAlign w:val="center"/>
            <w:hideMark/>
          </w:tcPr>
          <w:p w14:paraId="701EDA8D"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57" w:type="dxa"/>
            <w:tcBorders>
              <w:top w:val="nil"/>
              <w:left w:val="nil"/>
              <w:bottom w:val="single" w:sz="8" w:space="0" w:color="auto"/>
              <w:right w:val="single" w:sz="8" w:space="0" w:color="auto"/>
            </w:tcBorders>
            <w:shd w:val="clear" w:color="auto" w:fill="auto"/>
            <w:noWrap/>
            <w:vAlign w:val="center"/>
            <w:hideMark/>
          </w:tcPr>
          <w:p w14:paraId="6AB343B0"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243" w:type="dxa"/>
            <w:tcBorders>
              <w:top w:val="nil"/>
              <w:left w:val="nil"/>
              <w:bottom w:val="single" w:sz="8" w:space="0" w:color="auto"/>
              <w:right w:val="single" w:sz="8" w:space="0" w:color="auto"/>
            </w:tcBorders>
            <w:shd w:val="clear" w:color="auto" w:fill="auto"/>
            <w:noWrap/>
            <w:vAlign w:val="center"/>
            <w:hideMark/>
          </w:tcPr>
          <w:p w14:paraId="7A38A980"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87" w:type="dxa"/>
            <w:tcBorders>
              <w:top w:val="nil"/>
              <w:left w:val="nil"/>
              <w:bottom w:val="single" w:sz="8" w:space="0" w:color="auto"/>
              <w:right w:val="single" w:sz="8" w:space="0" w:color="auto"/>
            </w:tcBorders>
            <w:shd w:val="clear" w:color="auto" w:fill="auto"/>
            <w:noWrap/>
            <w:vAlign w:val="center"/>
            <w:hideMark/>
          </w:tcPr>
          <w:p w14:paraId="1D5EA40B"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187" w:type="dxa"/>
            <w:tcBorders>
              <w:top w:val="nil"/>
              <w:left w:val="nil"/>
              <w:bottom w:val="single" w:sz="8" w:space="0" w:color="auto"/>
              <w:right w:val="single" w:sz="8" w:space="0" w:color="auto"/>
            </w:tcBorders>
            <w:shd w:val="clear" w:color="auto" w:fill="auto"/>
            <w:noWrap/>
            <w:vAlign w:val="center"/>
            <w:hideMark/>
          </w:tcPr>
          <w:p w14:paraId="52C7EA79"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82" w:type="dxa"/>
            <w:tcBorders>
              <w:top w:val="nil"/>
              <w:left w:val="nil"/>
              <w:bottom w:val="single" w:sz="8" w:space="0" w:color="auto"/>
              <w:right w:val="single" w:sz="8" w:space="0" w:color="auto"/>
            </w:tcBorders>
            <w:shd w:val="clear" w:color="auto" w:fill="auto"/>
            <w:noWrap/>
            <w:vAlign w:val="center"/>
            <w:hideMark/>
          </w:tcPr>
          <w:p w14:paraId="5A7B11CD"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93" w:type="dxa"/>
            <w:tcBorders>
              <w:top w:val="nil"/>
              <w:left w:val="nil"/>
              <w:bottom w:val="single" w:sz="8" w:space="0" w:color="auto"/>
              <w:right w:val="single" w:sz="8" w:space="0" w:color="auto"/>
            </w:tcBorders>
            <w:shd w:val="clear" w:color="auto" w:fill="auto"/>
            <w:noWrap/>
            <w:vAlign w:val="center"/>
            <w:hideMark/>
          </w:tcPr>
          <w:p w14:paraId="3E66CA40"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r>
      <w:tr w:rsidR="00EF3982" w:rsidRPr="00EF3982" w14:paraId="49B27394" w14:textId="77777777" w:rsidTr="00EF3982">
        <w:trPr>
          <w:gridAfter w:val="1"/>
          <w:wAfter w:w="21" w:type="dxa"/>
          <w:trHeight w:val="74"/>
        </w:trPr>
        <w:tc>
          <w:tcPr>
            <w:tcW w:w="1292" w:type="dxa"/>
            <w:tcBorders>
              <w:top w:val="nil"/>
              <w:left w:val="single" w:sz="8" w:space="0" w:color="auto"/>
              <w:bottom w:val="single" w:sz="8" w:space="0" w:color="auto"/>
              <w:right w:val="single" w:sz="8" w:space="0" w:color="auto"/>
            </w:tcBorders>
            <w:shd w:val="clear" w:color="000000" w:fill="D9E1F2"/>
            <w:vAlign w:val="center"/>
            <w:hideMark/>
          </w:tcPr>
          <w:p w14:paraId="609736B9" w14:textId="77777777" w:rsidR="00EF3982" w:rsidRPr="000A0B8F" w:rsidRDefault="00EF3982">
            <w:pPr>
              <w:rPr>
                <w:rFonts w:ascii="Calibri" w:hAnsi="Calibri"/>
                <w:color w:val="000000"/>
                <w:sz w:val="18"/>
                <w:szCs w:val="18"/>
              </w:rPr>
            </w:pPr>
            <w:r w:rsidRPr="000A0B8F">
              <w:rPr>
                <w:rFonts w:ascii="Calibri" w:hAnsi="Calibri"/>
                <w:color w:val="000000"/>
                <w:sz w:val="18"/>
                <w:szCs w:val="18"/>
              </w:rPr>
              <w:t xml:space="preserve">Amtrak – General Capital </w:t>
            </w:r>
          </w:p>
        </w:tc>
        <w:tc>
          <w:tcPr>
            <w:tcW w:w="994" w:type="dxa"/>
            <w:tcBorders>
              <w:top w:val="nil"/>
              <w:left w:val="nil"/>
              <w:bottom w:val="single" w:sz="8" w:space="0" w:color="auto"/>
              <w:right w:val="single" w:sz="8" w:space="0" w:color="auto"/>
            </w:tcBorders>
            <w:shd w:val="clear" w:color="auto" w:fill="auto"/>
            <w:vAlign w:val="center"/>
            <w:hideMark/>
          </w:tcPr>
          <w:p w14:paraId="241B35C5"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$1,101.5</w:t>
            </w:r>
          </w:p>
        </w:tc>
        <w:tc>
          <w:tcPr>
            <w:tcW w:w="1093" w:type="dxa"/>
            <w:tcBorders>
              <w:top w:val="nil"/>
              <w:left w:val="nil"/>
              <w:bottom w:val="single" w:sz="8" w:space="0" w:color="auto"/>
              <w:right w:val="single" w:sz="8" w:space="0" w:color="auto"/>
            </w:tcBorders>
            <w:shd w:val="clear" w:color="auto" w:fill="auto"/>
            <w:noWrap/>
            <w:vAlign w:val="center"/>
            <w:hideMark/>
          </w:tcPr>
          <w:p w14:paraId="42EA82E2"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57" w:type="dxa"/>
            <w:tcBorders>
              <w:top w:val="nil"/>
              <w:left w:val="nil"/>
              <w:bottom w:val="single" w:sz="8" w:space="0" w:color="auto"/>
              <w:right w:val="single" w:sz="8" w:space="0" w:color="auto"/>
            </w:tcBorders>
            <w:shd w:val="clear" w:color="auto" w:fill="auto"/>
            <w:noWrap/>
            <w:vAlign w:val="center"/>
            <w:hideMark/>
          </w:tcPr>
          <w:p w14:paraId="39ABFA68"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243" w:type="dxa"/>
            <w:tcBorders>
              <w:top w:val="nil"/>
              <w:left w:val="nil"/>
              <w:bottom w:val="single" w:sz="8" w:space="0" w:color="auto"/>
              <w:right w:val="single" w:sz="8" w:space="0" w:color="auto"/>
            </w:tcBorders>
            <w:shd w:val="clear" w:color="auto" w:fill="auto"/>
            <w:noWrap/>
            <w:vAlign w:val="center"/>
            <w:hideMark/>
          </w:tcPr>
          <w:p w14:paraId="15B24D9D"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87" w:type="dxa"/>
            <w:tcBorders>
              <w:top w:val="nil"/>
              <w:left w:val="nil"/>
              <w:bottom w:val="single" w:sz="8" w:space="0" w:color="auto"/>
              <w:right w:val="single" w:sz="8" w:space="0" w:color="auto"/>
            </w:tcBorders>
            <w:shd w:val="clear" w:color="auto" w:fill="auto"/>
            <w:noWrap/>
            <w:vAlign w:val="center"/>
            <w:hideMark/>
          </w:tcPr>
          <w:p w14:paraId="75DFA438"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187" w:type="dxa"/>
            <w:tcBorders>
              <w:top w:val="nil"/>
              <w:left w:val="nil"/>
              <w:bottom w:val="single" w:sz="8" w:space="0" w:color="auto"/>
              <w:right w:val="single" w:sz="8" w:space="0" w:color="auto"/>
            </w:tcBorders>
            <w:shd w:val="clear" w:color="auto" w:fill="auto"/>
            <w:noWrap/>
            <w:vAlign w:val="center"/>
            <w:hideMark/>
          </w:tcPr>
          <w:p w14:paraId="1FABDC3A"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82" w:type="dxa"/>
            <w:tcBorders>
              <w:top w:val="nil"/>
              <w:left w:val="nil"/>
              <w:bottom w:val="single" w:sz="8" w:space="0" w:color="auto"/>
              <w:right w:val="single" w:sz="8" w:space="0" w:color="auto"/>
            </w:tcBorders>
            <w:shd w:val="clear" w:color="auto" w:fill="auto"/>
            <w:noWrap/>
            <w:vAlign w:val="center"/>
            <w:hideMark/>
          </w:tcPr>
          <w:p w14:paraId="1F2C557E"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93" w:type="dxa"/>
            <w:tcBorders>
              <w:top w:val="nil"/>
              <w:left w:val="nil"/>
              <w:bottom w:val="single" w:sz="8" w:space="0" w:color="auto"/>
              <w:right w:val="single" w:sz="8" w:space="0" w:color="auto"/>
            </w:tcBorders>
            <w:shd w:val="clear" w:color="auto" w:fill="auto"/>
            <w:noWrap/>
            <w:vAlign w:val="center"/>
            <w:hideMark/>
          </w:tcPr>
          <w:p w14:paraId="02D89400"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r>
      <w:tr w:rsidR="00EF3982" w:rsidRPr="00EF3982" w14:paraId="10153771" w14:textId="77777777" w:rsidTr="00EF3982">
        <w:trPr>
          <w:gridAfter w:val="1"/>
          <w:wAfter w:w="21" w:type="dxa"/>
          <w:trHeight w:val="99"/>
        </w:trPr>
        <w:tc>
          <w:tcPr>
            <w:tcW w:w="1292" w:type="dxa"/>
            <w:tcBorders>
              <w:top w:val="nil"/>
              <w:left w:val="single" w:sz="8" w:space="0" w:color="auto"/>
              <w:bottom w:val="single" w:sz="8" w:space="0" w:color="auto"/>
              <w:right w:val="single" w:sz="8" w:space="0" w:color="auto"/>
            </w:tcBorders>
            <w:shd w:val="clear" w:color="000000" w:fill="D9E1F2"/>
            <w:vAlign w:val="center"/>
            <w:hideMark/>
          </w:tcPr>
          <w:p w14:paraId="5E08DBB8" w14:textId="77777777" w:rsidR="00EF3982" w:rsidRPr="000A0B8F" w:rsidRDefault="00EF3982">
            <w:pPr>
              <w:rPr>
                <w:rFonts w:ascii="Calibri" w:hAnsi="Calibri"/>
                <w:color w:val="000000"/>
                <w:sz w:val="18"/>
                <w:szCs w:val="18"/>
              </w:rPr>
            </w:pPr>
            <w:r w:rsidRPr="000A0B8F">
              <w:rPr>
                <w:rFonts w:ascii="Calibri" w:hAnsi="Calibri"/>
                <w:color w:val="000000"/>
                <w:sz w:val="18"/>
                <w:szCs w:val="18"/>
              </w:rPr>
              <w:t>Amtrak - National Network</w:t>
            </w:r>
          </w:p>
        </w:tc>
        <w:tc>
          <w:tcPr>
            <w:tcW w:w="994" w:type="dxa"/>
            <w:tcBorders>
              <w:top w:val="nil"/>
              <w:left w:val="nil"/>
              <w:bottom w:val="single" w:sz="8" w:space="0" w:color="auto"/>
              <w:right w:val="single" w:sz="8" w:space="0" w:color="auto"/>
            </w:tcBorders>
            <w:shd w:val="clear" w:color="auto" w:fill="auto"/>
            <w:vAlign w:val="center"/>
            <w:hideMark/>
          </w:tcPr>
          <w:p w14:paraId="14E2025B"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93" w:type="dxa"/>
            <w:tcBorders>
              <w:top w:val="nil"/>
              <w:left w:val="nil"/>
              <w:bottom w:val="single" w:sz="8" w:space="0" w:color="auto"/>
              <w:right w:val="single" w:sz="8" w:space="0" w:color="auto"/>
            </w:tcBorders>
            <w:shd w:val="clear" w:color="auto" w:fill="auto"/>
            <w:vAlign w:val="center"/>
            <w:hideMark/>
          </w:tcPr>
          <w:p w14:paraId="3D810EBD"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$1,026.0</w:t>
            </w:r>
          </w:p>
        </w:tc>
        <w:tc>
          <w:tcPr>
            <w:tcW w:w="1057" w:type="dxa"/>
            <w:tcBorders>
              <w:top w:val="nil"/>
              <w:left w:val="nil"/>
              <w:bottom w:val="single" w:sz="8" w:space="0" w:color="auto"/>
              <w:right w:val="single" w:sz="8" w:space="0" w:color="auto"/>
            </w:tcBorders>
            <w:shd w:val="clear" w:color="auto" w:fill="auto"/>
            <w:vAlign w:val="center"/>
            <w:hideMark/>
          </w:tcPr>
          <w:p w14:paraId="1B1F2C8C"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$1,075.0</w:t>
            </w:r>
          </w:p>
        </w:tc>
        <w:tc>
          <w:tcPr>
            <w:tcW w:w="1243" w:type="dxa"/>
            <w:tcBorders>
              <w:top w:val="nil"/>
              <w:left w:val="nil"/>
              <w:bottom w:val="single" w:sz="8" w:space="0" w:color="auto"/>
              <w:right w:val="single" w:sz="8" w:space="0" w:color="auto"/>
            </w:tcBorders>
            <w:shd w:val="clear" w:color="auto" w:fill="auto"/>
            <w:vAlign w:val="center"/>
            <w:hideMark/>
          </w:tcPr>
          <w:p w14:paraId="15FCC011"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$1,000.0</w:t>
            </w:r>
          </w:p>
        </w:tc>
        <w:tc>
          <w:tcPr>
            <w:tcW w:w="1087" w:type="dxa"/>
            <w:tcBorders>
              <w:top w:val="nil"/>
              <w:left w:val="nil"/>
              <w:bottom w:val="single" w:sz="8" w:space="0" w:color="auto"/>
              <w:right w:val="single" w:sz="8" w:space="0" w:color="auto"/>
            </w:tcBorders>
            <w:shd w:val="clear" w:color="auto" w:fill="auto"/>
            <w:noWrap/>
            <w:vAlign w:val="center"/>
            <w:hideMark/>
          </w:tcPr>
          <w:p w14:paraId="52E5BCB0" w14:textId="7D2EE73A" w:rsidR="00EF3982" w:rsidRPr="000A0B8F" w:rsidRDefault="00C4741E" w:rsidP="00C4741E">
            <w:pPr>
              <w:jc w:val="center"/>
              <w:rPr>
                <w:rFonts w:ascii="Calibri" w:hAnsi="Calibri"/>
                <w:color w:val="000000"/>
                <w:sz w:val="18"/>
                <w:szCs w:val="18"/>
              </w:rPr>
            </w:pPr>
            <w:r>
              <w:rPr>
                <w:rFonts w:ascii="Calibri" w:hAnsi="Calibri"/>
                <w:color w:val="000000"/>
                <w:sz w:val="18"/>
                <w:szCs w:val="18"/>
              </w:rPr>
              <w:t>$1,155.0</w:t>
            </w:r>
          </w:p>
        </w:tc>
        <w:tc>
          <w:tcPr>
            <w:tcW w:w="1187" w:type="dxa"/>
            <w:tcBorders>
              <w:top w:val="nil"/>
              <w:left w:val="nil"/>
              <w:bottom w:val="single" w:sz="8" w:space="0" w:color="auto"/>
              <w:right w:val="single" w:sz="8" w:space="0" w:color="auto"/>
            </w:tcBorders>
            <w:shd w:val="clear" w:color="auto" w:fill="auto"/>
            <w:vAlign w:val="center"/>
            <w:hideMark/>
          </w:tcPr>
          <w:p w14:paraId="52849A15"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$1,085.0</w:t>
            </w:r>
          </w:p>
        </w:tc>
        <w:tc>
          <w:tcPr>
            <w:tcW w:w="1082" w:type="dxa"/>
            <w:tcBorders>
              <w:top w:val="nil"/>
              <w:left w:val="nil"/>
              <w:bottom w:val="single" w:sz="8" w:space="0" w:color="auto"/>
              <w:right w:val="single" w:sz="8" w:space="0" w:color="auto"/>
            </w:tcBorders>
            <w:shd w:val="clear" w:color="auto" w:fill="auto"/>
            <w:vAlign w:val="center"/>
            <w:hideMark/>
          </w:tcPr>
          <w:p w14:paraId="4417F1EB"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$1,143.0</w:t>
            </w:r>
          </w:p>
        </w:tc>
        <w:tc>
          <w:tcPr>
            <w:tcW w:w="1093" w:type="dxa"/>
            <w:tcBorders>
              <w:top w:val="nil"/>
              <w:left w:val="nil"/>
              <w:bottom w:val="single" w:sz="8" w:space="0" w:color="auto"/>
              <w:right w:val="single" w:sz="8" w:space="0" w:color="auto"/>
            </w:tcBorders>
            <w:shd w:val="clear" w:color="auto" w:fill="auto"/>
            <w:vAlign w:val="center"/>
            <w:hideMark/>
          </w:tcPr>
          <w:p w14:paraId="65A8997D"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$1,200.0</w:t>
            </w:r>
          </w:p>
        </w:tc>
      </w:tr>
      <w:tr w:rsidR="00EF3982" w:rsidRPr="00EF3982" w14:paraId="094D92E1" w14:textId="77777777" w:rsidTr="00EF3982">
        <w:trPr>
          <w:gridAfter w:val="1"/>
          <w:wAfter w:w="21" w:type="dxa"/>
          <w:trHeight w:val="261"/>
        </w:trPr>
        <w:tc>
          <w:tcPr>
            <w:tcW w:w="1292" w:type="dxa"/>
            <w:tcBorders>
              <w:top w:val="nil"/>
              <w:left w:val="single" w:sz="8" w:space="0" w:color="auto"/>
              <w:bottom w:val="single" w:sz="8" w:space="0" w:color="auto"/>
              <w:right w:val="single" w:sz="8" w:space="0" w:color="auto"/>
            </w:tcBorders>
            <w:shd w:val="clear" w:color="000000" w:fill="D9E1F2"/>
            <w:vAlign w:val="center"/>
            <w:hideMark/>
          </w:tcPr>
          <w:p w14:paraId="18FC942A" w14:textId="77777777" w:rsidR="00EF3982" w:rsidRPr="000A0B8F" w:rsidRDefault="00EF3982">
            <w:pPr>
              <w:rPr>
                <w:rFonts w:ascii="Calibri" w:hAnsi="Calibri"/>
                <w:color w:val="000000"/>
                <w:sz w:val="18"/>
                <w:szCs w:val="18"/>
              </w:rPr>
            </w:pPr>
            <w:r w:rsidRPr="000A0B8F">
              <w:rPr>
                <w:rFonts w:ascii="Calibri" w:hAnsi="Calibri"/>
                <w:color w:val="000000"/>
                <w:sz w:val="18"/>
                <w:szCs w:val="18"/>
              </w:rPr>
              <w:t>Amtrak - NEC</w:t>
            </w:r>
          </w:p>
        </w:tc>
        <w:tc>
          <w:tcPr>
            <w:tcW w:w="994" w:type="dxa"/>
            <w:tcBorders>
              <w:top w:val="nil"/>
              <w:left w:val="nil"/>
              <w:bottom w:val="nil"/>
              <w:right w:val="single" w:sz="8" w:space="0" w:color="auto"/>
            </w:tcBorders>
            <w:shd w:val="clear" w:color="auto" w:fill="auto"/>
            <w:vAlign w:val="center"/>
            <w:hideMark/>
          </w:tcPr>
          <w:p w14:paraId="2CCCC5E2"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93" w:type="dxa"/>
            <w:tcBorders>
              <w:top w:val="nil"/>
              <w:left w:val="nil"/>
              <w:bottom w:val="nil"/>
              <w:right w:val="single" w:sz="8" w:space="0" w:color="auto"/>
            </w:tcBorders>
            <w:shd w:val="clear" w:color="auto" w:fill="auto"/>
            <w:vAlign w:val="center"/>
            <w:hideMark/>
          </w:tcPr>
          <w:p w14:paraId="46D03289"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$474.0</w:t>
            </w:r>
          </w:p>
        </w:tc>
        <w:tc>
          <w:tcPr>
            <w:tcW w:w="1057" w:type="dxa"/>
            <w:tcBorders>
              <w:top w:val="nil"/>
              <w:left w:val="nil"/>
              <w:bottom w:val="nil"/>
              <w:right w:val="single" w:sz="8" w:space="0" w:color="auto"/>
            </w:tcBorders>
            <w:shd w:val="clear" w:color="auto" w:fill="auto"/>
            <w:vAlign w:val="center"/>
            <w:hideMark/>
          </w:tcPr>
          <w:p w14:paraId="3C2F9DE4"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$345.0</w:t>
            </w:r>
          </w:p>
        </w:tc>
        <w:tc>
          <w:tcPr>
            <w:tcW w:w="1243" w:type="dxa"/>
            <w:tcBorders>
              <w:top w:val="nil"/>
              <w:left w:val="nil"/>
              <w:bottom w:val="nil"/>
              <w:right w:val="single" w:sz="8" w:space="0" w:color="auto"/>
            </w:tcBorders>
            <w:shd w:val="clear" w:color="auto" w:fill="auto"/>
            <w:vAlign w:val="center"/>
            <w:hideMark/>
          </w:tcPr>
          <w:p w14:paraId="09C911CB"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$420.0</w:t>
            </w:r>
          </w:p>
        </w:tc>
        <w:tc>
          <w:tcPr>
            <w:tcW w:w="1087" w:type="dxa"/>
            <w:tcBorders>
              <w:top w:val="nil"/>
              <w:left w:val="nil"/>
              <w:bottom w:val="single" w:sz="8" w:space="0" w:color="auto"/>
              <w:right w:val="single" w:sz="8" w:space="0" w:color="auto"/>
            </w:tcBorders>
            <w:shd w:val="clear" w:color="auto" w:fill="auto"/>
            <w:noWrap/>
            <w:vAlign w:val="center"/>
            <w:hideMark/>
          </w:tcPr>
          <w:p w14:paraId="2E7D4720" w14:textId="6E9FAF89" w:rsidR="00EF3982" w:rsidRPr="000A0B8F" w:rsidRDefault="00C4741E">
            <w:pPr>
              <w:jc w:val="center"/>
              <w:rPr>
                <w:rFonts w:ascii="Calibri" w:hAnsi="Calibri"/>
                <w:color w:val="000000"/>
                <w:sz w:val="18"/>
                <w:szCs w:val="18"/>
              </w:rPr>
            </w:pPr>
            <w:r w:rsidRPr="000A0B8F">
              <w:rPr>
                <w:rFonts w:ascii="Calibri" w:hAnsi="Calibri"/>
                <w:color w:val="000000"/>
                <w:sz w:val="18"/>
                <w:szCs w:val="18"/>
              </w:rPr>
              <w:t>$235.0</w:t>
            </w:r>
          </w:p>
        </w:tc>
        <w:tc>
          <w:tcPr>
            <w:tcW w:w="1187" w:type="dxa"/>
            <w:tcBorders>
              <w:top w:val="nil"/>
              <w:left w:val="nil"/>
              <w:bottom w:val="nil"/>
              <w:right w:val="single" w:sz="8" w:space="0" w:color="auto"/>
            </w:tcBorders>
            <w:shd w:val="clear" w:color="auto" w:fill="auto"/>
            <w:vAlign w:val="center"/>
            <w:hideMark/>
          </w:tcPr>
          <w:p w14:paraId="171E5319"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$515.0</w:t>
            </w:r>
          </w:p>
        </w:tc>
        <w:tc>
          <w:tcPr>
            <w:tcW w:w="1082" w:type="dxa"/>
            <w:tcBorders>
              <w:top w:val="nil"/>
              <w:left w:val="nil"/>
              <w:bottom w:val="nil"/>
              <w:right w:val="single" w:sz="8" w:space="0" w:color="auto"/>
            </w:tcBorders>
            <w:shd w:val="clear" w:color="auto" w:fill="auto"/>
            <w:vAlign w:val="center"/>
            <w:hideMark/>
          </w:tcPr>
          <w:p w14:paraId="0166A09B"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$557.0</w:t>
            </w:r>
          </w:p>
        </w:tc>
        <w:tc>
          <w:tcPr>
            <w:tcW w:w="1093" w:type="dxa"/>
            <w:tcBorders>
              <w:top w:val="nil"/>
              <w:left w:val="nil"/>
              <w:bottom w:val="nil"/>
              <w:right w:val="single" w:sz="8" w:space="0" w:color="auto"/>
            </w:tcBorders>
            <w:shd w:val="clear" w:color="auto" w:fill="auto"/>
            <w:vAlign w:val="center"/>
            <w:hideMark/>
          </w:tcPr>
          <w:p w14:paraId="592C0877"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$600.0</w:t>
            </w:r>
          </w:p>
        </w:tc>
      </w:tr>
      <w:tr w:rsidR="00EF3982" w:rsidRPr="00EF3982" w14:paraId="4DE50AE9" w14:textId="77777777" w:rsidTr="00EF3982">
        <w:trPr>
          <w:gridAfter w:val="1"/>
          <w:wAfter w:w="21" w:type="dxa"/>
          <w:trHeight w:val="329"/>
        </w:trPr>
        <w:tc>
          <w:tcPr>
            <w:tcW w:w="1292" w:type="dxa"/>
            <w:tcBorders>
              <w:top w:val="nil"/>
              <w:left w:val="single" w:sz="8" w:space="0" w:color="auto"/>
              <w:bottom w:val="nil"/>
              <w:right w:val="single" w:sz="8" w:space="0" w:color="auto"/>
            </w:tcBorders>
            <w:shd w:val="clear" w:color="000000" w:fill="D9E1F2"/>
            <w:hideMark/>
          </w:tcPr>
          <w:p w14:paraId="000871EC" w14:textId="25B73DC9" w:rsidR="00EF3982" w:rsidRPr="000A0B8F" w:rsidRDefault="00EF3982" w:rsidP="000A0B8F">
            <w:pPr>
              <w:rPr>
                <w:rFonts w:ascii="Calibri" w:hAnsi="Calibri"/>
                <w:color w:val="000000"/>
                <w:sz w:val="18"/>
                <w:szCs w:val="18"/>
              </w:rPr>
            </w:pPr>
            <w:r w:rsidRPr="000A0B8F">
              <w:rPr>
                <w:rFonts w:ascii="Calibri" w:hAnsi="Calibri"/>
                <w:color w:val="000000"/>
                <w:sz w:val="18"/>
                <w:szCs w:val="18"/>
              </w:rPr>
              <w:t>Consolidated Rail Infra</w:t>
            </w:r>
            <w:r w:rsidR="000A0B8F">
              <w:rPr>
                <w:rFonts w:ascii="Calibri" w:hAnsi="Calibri"/>
                <w:color w:val="000000"/>
                <w:sz w:val="18"/>
                <w:szCs w:val="18"/>
              </w:rPr>
              <w:t>.</w:t>
            </w:r>
            <w:r w:rsidRPr="000A0B8F">
              <w:rPr>
                <w:rFonts w:ascii="Calibri" w:hAnsi="Calibri"/>
                <w:color w:val="000000"/>
                <w:sz w:val="18"/>
                <w:szCs w:val="18"/>
              </w:rPr>
              <w:t xml:space="preserve"> &amp; Safety Grants</w:t>
            </w:r>
          </w:p>
        </w:tc>
        <w:tc>
          <w:tcPr>
            <w:tcW w:w="994" w:type="dxa"/>
            <w:tcBorders>
              <w:top w:val="single" w:sz="8" w:space="0" w:color="auto"/>
              <w:left w:val="nil"/>
              <w:bottom w:val="nil"/>
              <w:right w:val="single" w:sz="8" w:space="0" w:color="auto"/>
            </w:tcBorders>
            <w:shd w:val="clear" w:color="auto" w:fill="auto"/>
            <w:vAlign w:val="center"/>
            <w:hideMark/>
          </w:tcPr>
          <w:p w14:paraId="5F071657"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93" w:type="dxa"/>
            <w:tcBorders>
              <w:top w:val="single" w:sz="8" w:space="0" w:color="auto"/>
              <w:left w:val="nil"/>
              <w:bottom w:val="nil"/>
              <w:right w:val="single" w:sz="8" w:space="0" w:color="auto"/>
            </w:tcBorders>
            <w:shd w:val="clear" w:color="auto" w:fill="auto"/>
            <w:vAlign w:val="center"/>
            <w:hideMark/>
          </w:tcPr>
          <w:p w14:paraId="2DF0FCDF"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$190.0</w:t>
            </w:r>
          </w:p>
        </w:tc>
        <w:tc>
          <w:tcPr>
            <w:tcW w:w="1057" w:type="dxa"/>
            <w:tcBorders>
              <w:top w:val="single" w:sz="8" w:space="0" w:color="auto"/>
              <w:left w:val="nil"/>
              <w:bottom w:val="nil"/>
              <w:right w:val="single" w:sz="8" w:space="0" w:color="auto"/>
            </w:tcBorders>
            <w:shd w:val="clear" w:color="auto" w:fill="auto"/>
            <w:vAlign w:val="center"/>
            <w:hideMark/>
          </w:tcPr>
          <w:p w14:paraId="1121C265"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$50.0</w:t>
            </w:r>
          </w:p>
        </w:tc>
        <w:tc>
          <w:tcPr>
            <w:tcW w:w="1243" w:type="dxa"/>
            <w:tcBorders>
              <w:top w:val="single" w:sz="8" w:space="0" w:color="auto"/>
              <w:left w:val="nil"/>
              <w:bottom w:val="nil"/>
              <w:right w:val="single" w:sz="8" w:space="0" w:color="auto"/>
            </w:tcBorders>
            <w:shd w:val="clear" w:color="auto" w:fill="auto"/>
            <w:vAlign w:val="center"/>
            <w:hideMark/>
          </w:tcPr>
          <w:p w14:paraId="572B45D3"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$25.0</w:t>
            </w:r>
          </w:p>
        </w:tc>
        <w:tc>
          <w:tcPr>
            <w:tcW w:w="1087" w:type="dxa"/>
            <w:tcBorders>
              <w:top w:val="nil"/>
              <w:left w:val="nil"/>
              <w:bottom w:val="nil"/>
              <w:right w:val="single" w:sz="8" w:space="0" w:color="auto"/>
            </w:tcBorders>
            <w:shd w:val="clear" w:color="auto" w:fill="auto"/>
            <w:noWrap/>
            <w:vAlign w:val="center"/>
            <w:hideMark/>
          </w:tcPr>
          <w:p w14:paraId="762628B9"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187" w:type="dxa"/>
            <w:tcBorders>
              <w:top w:val="single" w:sz="8" w:space="0" w:color="auto"/>
              <w:left w:val="nil"/>
              <w:bottom w:val="nil"/>
              <w:right w:val="single" w:sz="8" w:space="0" w:color="auto"/>
            </w:tcBorders>
            <w:shd w:val="clear" w:color="auto" w:fill="auto"/>
            <w:vAlign w:val="center"/>
            <w:hideMark/>
          </w:tcPr>
          <w:p w14:paraId="30F52876"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$230.0</w:t>
            </w:r>
          </w:p>
        </w:tc>
        <w:tc>
          <w:tcPr>
            <w:tcW w:w="1082" w:type="dxa"/>
            <w:tcBorders>
              <w:top w:val="single" w:sz="8" w:space="0" w:color="auto"/>
              <w:left w:val="nil"/>
              <w:bottom w:val="nil"/>
              <w:right w:val="single" w:sz="8" w:space="0" w:color="auto"/>
            </w:tcBorders>
            <w:shd w:val="clear" w:color="auto" w:fill="auto"/>
            <w:vAlign w:val="center"/>
            <w:hideMark/>
          </w:tcPr>
          <w:p w14:paraId="481DF608"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$255.0</w:t>
            </w:r>
          </w:p>
        </w:tc>
        <w:tc>
          <w:tcPr>
            <w:tcW w:w="1093" w:type="dxa"/>
            <w:tcBorders>
              <w:top w:val="single" w:sz="8" w:space="0" w:color="auto"/>
              <w:left w:val="nil"/>
              <w:bottom w:val="nil"/>
              <w:right w:val="single" w:sz="8" w:space="0" w:color="auto"/>
            </w:tcBorders>
            <w:shd w:val="clear" w:color="auto" w:fill="auto"/>
            <w:vAlign w:val="center"/>
            <w:hideMark/>
          </w:tcPr>
          <w:p w14:paraId="40746F77"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$330.0</w:t>
            </w:r>
          </w:p>
        </w:tc>
      </w:tr>
      <w:tr w:rsidR="00EF3982" w:rsidRPr="00EF3982" w14:paraId="456DFA82" w14:textId="77777777" w:rsidTr="00EF3982">
        <w:trPr>
          <w:gridAfter w:val="1"/>
          <w:wAfter w:w="21" w:type="dxa"/>
          <w:trHeight w:val="405"/>
        </w:trPr>
        <w:tc>
          <w:tcPr>
            <w:tcW w:w="1292"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6E06EF3" w14:textId="77777777" w:rsidR="00EF3982" w:rsidRPr="000A0B8F" w:rsidRDefault="00EF3982">
            <w:pPr>
              <w:rPr>
                <w:rFonts w:ascii="Calibri" w:hAnsi="Calibri"/>
                <w:color w:val="000000"/>
                <w:sz w:val="18"/>
                <w:szCs w:val="18"/>
              </w:rPr>
            </w:pPr>
            <w:r w:rsidRPr="000A0B8F">
              <w:rPr>
                <w:rFonts w:ascii="Calibri" w:hAnsi="Calibri"/>
                <w:color w:val="000000"/>
                <w:sz w:val="18"/>
                <w:szCs w:val="18"/>
              </w:rPr>
              <w:t xml:space="preserve">Federal State Partnership For State Of Good Repair </w:t>
            </w:r>
          </w:p>
        </w:tc>
        <w:tc>
          <w:tcPr>
            <w:tcW w:w="994" w:type="dxa"/>
            <w:tcBorders>
              <w:top w:val="single" w:sz="8" w:space="0" w:color="auto"/>
              <w:left w:val="nil"/>
              <w:bottom w:val="single" w:sz="8" w:space="0" w:color="auto"/>
              <w:right w:val="single" w:sz="8" w:space="0" w:color="auto"/>
            </w:tcBorders>
            <w:shd w:val="clear" w:color="auto" w:fill="auto"/>
            <w:vAlign w:val="center"/>
            <w:hideMark/>
          </w:tcPr>
          <w:p w14:paraId="4B0D461B"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57474DE1"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$140.0</w:t>
            </w:r>
          </w:p>
        </w:tc>
        <w:tc>
          <w:tcPr>
            <w:tcW w:w="1057" w:type="dxa"/>
            <w:tcBorders>
              <w:top w:val="single" w:sz="8" w:space="0" w:color="auto"/>
              <w:left w:val="nil"/>
              <w:bottom w:val="single" w:sz="8" w:space="0" w:color="auto"/>
              <w:right w:val="single" w:sz="8" w:space="0" w:color="auto"/>
            </w:tcBorders>
            <w:shd w:val="clear" w:color="auto" w:fill="auto"/>
            <w:vAlign w:val="center"/>
            <w:hideMark/>
          </w:tcPr>
          <w:p w14:paraId="658382EF"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$20.0</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14:paraId="0142EEA2"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$25.0</w:t>
            </w:r>
          </w:p>
        </w:tc>
        <w:tc>
          <w:tcPr>
            <w:tcW w:w="1087" w:type="dxa"/>
            <w:tcBorders>
              <w:top w:val="single" w:sz="8" w:space="0" w:color="auto"/>
              <w:left w:val="nil"/>
              <w:bottom w:val="nil"/>
              <w:right w:val="single" w:sz="8" w:space="0" w:color="auto"/>
            </w:tcBorders>
            <w:shd w:val="clear" w:color="auto" w:fill="auto"/>
            <w:noWrap/>
            <w:vAlign w:val="center"/>
            <w:hideMark/>
          </w:tcPr>
          <w:p w14:paraId="6D969BCF"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45E4396D"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$175.0</w:t>
            </w:r>
          </w:p>
        </w:tc>
        <w:tc>
          <w:tcPr>
            <w:tcW w:w="1082" w:type="dxa"/>
            <w:tcBorders>
              <w:top w:val="single" w:sz="8" w:space="0" w:color="auto"/>
              <w:left w:val="nil"/>
              <w:bottom w:val="single" w:sz="8" w:space="0" w:color="auto"/>
              <w:right w:val="single" w:sz="8" w:space="0" w:color="auto"/>
            </w:tcBorders>
            <w:shd w:val="clear" w:color="auto" w:fill="auto"/>
            <w:vAlign w:val="center"/>
            <w:hideMark/>
          </w:tcPr>
          <w:p w14:paraId="5F7BF3B8"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$300.0</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3141D3FA"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$300.0</w:t>
            </w:r>
          </w:p>
        </w:tc>
      </w:tr>
      <w:tr w:rsidR="00EF3982" w:rsidRPr="00EF3982" w14:paraId="3ACB85AE" w14:textId="77777777" w:rsidTr="00EF3982">
        <w:trPr>
          <w:gridAfter w:val="1"/>
          <w:wAfter w:w="21" w:type="dxa"/>
          <w:trHeight w:val="37"/>
        </w:trPr>
        <w:tc>
          <w:tcPr>
            <w:tcW w:w="1292" w:type="dxa"/>
            <w:tcBorders>
              <w:top w:val="nil"/>
              <w:left w:val="single" w:sz="8" w:space="0" w:color="auto"/>
              <w:bottom w:val="single" w:sz="8" w:space="0" w:color="auto"/>
              <w:right w:val="single" w:sz="8" w:space="0" w:color="auto"/>
            </w:tcBorders>
            <w:shd w:val="clear" w:color="000000" w:fill="D9E1F2"/>
            <w:vAlign w:val="center"/>
            <w:hideMark/>
          </w:tcPr>
          <w:p w14:paraId="27301B27" w14:textId="77777777" w:rsidR="00EF3982" w:rsidRPr="000A0B8F" w:rsidRDefault="00EF3982">
            <w:pPr>
              <w:rPr>
                <w:rFonts w:ascii="Calibri" w:hAnsi="Calibri"/>
                <w:color w:val="000000"/>
                <w:sz w:val="18"/>
                <w:szCs w:val="18"/>
              </w:rPr>
            </w:pPr>
            <w:r w:rsidRPr="000A0B8F">
              <w:rPr>
                <w:rFonts w:ascii="Calibri" w:hAnsi="Calibri"/>
                <w:color w:val="000000"/>
                <w:sz w:val="18"/>
                <w:szCs w:val="18"/>
              </w:rPr>
              <w:t xml:space="preserve">Restoration &amp; Enhancement Grants </w:t>
            </w:r>
          </w:p>
        </w:tc>
        <w:tc>
          <w:tcPr>
            <w:tcW w:w="994" w:type="dxa"/>
            <w:tcBorders>
              <w:top w:val="nil"/>
              <w:left w:val="nil"/>
              <w:bottom w:val="single" w:sz="8" w:space="0" w:color="auto"/>
              <w:right w:val="single" w:sz="8" w:space="0" w:color="auto"/>
            </w:tcBorders>
            <w:shd w:val="clear" w:color="auto" w:fill="auto"/>
            <w:vAlign w:val="center"/>
            <w:hideMark/>
          </w:tcPr>
          <w:p w14:paraId="7B8E7D68"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093" w:type="dxa"/>
            <w:tcBorders>
              <w:top w:val="nil"/>
              <w:left w:val="nil"/>
              <w:bottom w:val="single" w:sz="8" w:space="0" w:color="auto"/>
              <w:right w:val="single" w:sz="8" w:space="0" w:color="auto"/>
            </w:tcBorders>
            <w:shd w:val="clear" w:color="auto" w:fill="auto"/>
            <w:vAlign w:val="center"/>
            <w:hideMark/>
          </w:tcPr>
          <w:p w14:paraId="246E019C"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$20.5</w:t>
            </w:r>
          </w:p>
        </w:tc>
        <w:tc>
          <w:tcPr>
            <w:tcW w:w="1057" w:type="dxa"/>
            <w:tcBorders>
              <w:top w:val="nil"/>
              <w:left w:val="nil"/>
              <w:bottom w:val="single" w:sz="8" w:space="0" w:color="auto"/>
              <w:right w:val="single" w:sz="8" w:space="0" w:color="auto"/>
            </w:tcBorders>
            <w:shd w:val="clear" w:color="auto" w:fill="auto"/>
            <w:vAlign w:val="center"/>
            <w:hideMark/>
          </w:tcPr>
          <w:p w14:paraId="2B4076D8"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$15.0</w:t>
            </w:r>
          </w:p>
        </w:tc>
        <w:tc>
          <w:tcPr>
            <w:tcW w:w="1243" w:type="dxa"/>
            <w:tcBorders>
              <w:top w:val="nil"/>
              <w:left w:val="nil"/>
              <w:bottom w:val="single" w:sz="8" w:space="0" w:color="auto"/>
              <w:right w:val="single" w:sz="8" w:space="0" w:color="auto"/>
            </w:tcBorders>
            <w:shd w:val="clear" w:color="auto" w:fill="auto"/>
            <w:vAlign w:val="center"/>
            <w:hideMark/>
          </w:tcPr>
          <w:p w14:paraId="631C06A5"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$0.0</w:t>
            </w:r>
          </w:p>
        </w:tc>
        <w:tc>
          <w:tcPr>
            <w:tcW w:w="1087" w:type="dxa"/>
            <w:tcBorders>
              <w:top w:val="single" w:sz="8" w:space="0" w:color="auto"/>
              <w:left w:val="nil"/>
              <w:bottom w:val="nil"/>
              <w:right w:val="single" w:sz="8" w:space="0" w:color="auto"/>
            </w:tcBorders>
            <w:shd w:val="clear" w:color="auto" w:fill="auto"/>
            <w:noWrap/>
            <w:vAlign w:val="center"/>
            <w:hideMark/>
          </w:tcPr>
          <w:p w14:paraId="0BCEF0C2"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N/A</w:t>
            </w:r>
          </w:p>
        </w:tc>
        <w:tc>
          <w:tcPr>
            <w:tcW w:w="1187" w:type="dxa"/>
            <w:tcBorders>
              <w:top w:val="nil"/>
              <w:left w:val="nil"/>
              <w:bottom w:val="single" w:sz="8" w:space="0" w:color="auto"/>
              <w:right w:val="single" w:sz="8" w:space="0" w:color="auto"/>
            </w:tcBorders>
            <w:shd w:val="clear" w:color="auto" w:fill="auto"/>
            <w:vAlign w:val="center"/>
            <w:hideMark/>
          </w:tcPr>
          <w:p w14:paraId="1CF6E8C4"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$21.0</w:t>
            </w:r>
          </w:p>
        </w:tc>
        <w:tc>
          <w:tcPr>
            <w:tcW w:w="1082" w:type="dxa"/>
            <w:tcBorders>
              <w:top w:val="nil"/>
              <w:left w:val="nil"/>
              <w:bottom w:val="single" w:sz="8" w:space="0" w:color="auto"/>
              <w:right w:val="single" w:sz="8" w:space="0" w:color="auto"/>
            </w:tcBorders>
            <w:shd w:val="clear" w:color="auto" w:fill="auto"/>
            <w:vAlign w:val="center"/>
            <w:hideMark/>
          </w:tcPr>
          <w:p w14:paraId="474C7A13"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$21.5</w:t>
            </w:r>
          </w:p>
        </w:tc>
        <w:tc>
          <w:tcPr>
            <w:tcW w:w="1093" w:type="dxa"/>
            <w:tcBorders>
              <w:top w:val="nil"/>
              <w:left w:val="nil"/>
              <w:bottom w:val="single" w:sz="8" w:space="0" w:color="auto"/>
              <w:right w:val="single" w:sz="8" w:space="0" w:color="auto"/>
            </w:tcBorders>
            <w:shd w:val="clear" w:color="auto" w:fill="auto"/>
            <w:vAlign w:val="center"/>
            <w:hideMark/>
          </w:tcPr>
          <w:p w14:paraId="5BF400B2" w14:textId="77777777" w:rsidR="00EF3982" w:rsidRPr="000A0B8F" w:rsidRDefault="00EF3982">
            <w:pPr>
              <w:jc w:val="center"/>
              <w:rPr>
                <w:rFonts w:ascii="Calibri" w:hAnsi="Calibri"/>
                <w:color w:val="000000"/>
                <w:sz w:val="18"/>
                <w:szCs w:val="18"/>
              </w:rPr>
            </w:pPr>
            <w:r w:rsidRPr="000A0B8F">
              <w:rPr>
                <w:rFonts w:ascii="Calibri" w:hAnsi="Calibri"/>
                <w:color w:val="000000"/>
                <w:sz w:val="18"/>
                <w:szCs w:val="18"/>
              </w:rPr>
              <w:t>$22.0</w:t>
            </w:r>
          </w:p>
        </w:tc>
      </w:tr>
      <w:tr w:rsidR="00EF3982" w:rsidRPr="00EF3982" w14:paraId="4FA86860" w14:textId="77777777" w:rsidTr="00EF3982">
        <w:trPr>
          <w:gridAfter w:val="1"/>
          <w:wAfter w:w="21" w:type="dxa"/>
          <w:trHeight w:val="297"/>
        </w:trPr>
        <w:tc>
          <w:tcPr>
            <w:tcW w:w="1292" w:type="dxa"/>
            <w:tcBorders>
              <w:top w:val="nil"/>
              <w:left w:val="single" w:sz="8" w:space="0" w:color="auto"/>
              <w:bottom w:val="single" w:sz="8" w:space="0" w:color="auto"/>
              <w:right w:val="single" w:sz="8" w:space="0" w:color="auto"/>
            </w:tcBorders>
            <w:shd w:val="clear" w:color="000000" w:fill="8EA9DB"/>
            <w:vAlign w:val="center"/>
            <w:hideMark/>
          </w:tcPr>
          <w:p w14:paraId="2CD435F6" w14:textId="77777777" w:rsidR="00EF3982" w:rsidRPr="000A0B8F" w:rsidRDefault="00EF3982">
            <w:pPr>
              <w:rPr>
                <w:rFonts w:ascii="Calibri" w:hAnsi="Calibri"/>
                <w:b/>
                <w:bCs/>
                <w:color w:val="000000"/>
                <w:sz w:val="18"/>
                <w:szCs w:val="18"/>
              </w:rPr>
            </w:pPr>
            <w:r w:rsidRPr="000A0B8F">
              <w:rPr>
                <w:rFonts w:ascii="Calibri" w:hAnsi="Calibri"/>
                <w:b/>
                <w:bCs/>
                <w:color w:val="000000"/>
                <w:sz w:val="18"/>
                <w:szCs w:val="18"/>
              </w:rPr>
              <w:t>Total</w:t>
            </w:r>
          </w:p>
        </w:tc>
        <w:tc>
          <w:tcPr>
            <w:tcW w:w="994" w:type="dxa"/>
            <w:tcBorders>
              <w:top w:val="nil"/>
              <w:left w:val="nil"/>
              <w:bottom w:val="single" w:sz="8" w:space="0" w:color="auto"/>
              <w:right w:val="single" w:sz="8" w:space="0" w:color="auto"/>
            </w:tcBorders>
            <w:shd w:val="clear" w:color="000000" w:fill="8EA9DB"/>
            <w:vAlign w:val="center"/>
            <w:hideMark/>
          </w:tcPr>
          <w:p w14:paraId="6426D85C"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$1,390.0</w:t>
            </w:r>
          </w:p>
        </w:tc>
        <w:tc>
          <w:tcPr>
            <w:tcW w:w="1093" w:type="dxa"/>
            <w:tcBorders>
              <w:top w:val="nil"/>
              <w:left w:val="nil"/>
              <w:bottom w:val="single" w:sz="8" w:space="0" w:color="auto"/>
              <w:right w:val="single" w:sz="8" w:space="0" w:color="auto"/>
            </w:tcBorders>
            <w:shd w:val="clear" w:color="000000" w:fill="8EA9DB"/>
            <w:vAlign w:val="center"/>
            <w:hideMark/>
          </w:tcPr>
          <w:p w14:paraId="414731E4"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$1,850.5</w:t>
            </w:r>
          </w:p>
        </w:tc>
        <w:tc>
          <w:tcPr>
            <w:tcW w:w="1057" w:type="dxa"/>
            <w:tcBorders>
              <w:top w:val="nil"/>
              <w:left w:val="nil"/>
              <w:bottom w:val="single" w:sz="8" w:space="0" w:color="auto"/>
              <w:right w:val="single" w:sz="8" w:space="0" w:color="auto"/>
            </w:tcBorders>
            <w:shd w:val="clear" w:color="000000" w:fill="8EA9DB"/>
            <w:vAlign w:val="center"/>
            <w:hideMark/>
          </w:tcPr>
          <w:p w14:paraId="6351C3F4"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$1,505.0</w:t>
            </w:r>
          </w:p>
        </w:tc>
        <w:tc>
          <w:tcPr>
            <w:tcW w:w="1243" w:type="dxa"/>
            <w:tcBorders>
              <w:top w:val="nil"/>
              <w:left w:val="nil"/>
              <w:bottom w:val="single" w:sz="8" w:space="0" w:color="auto"/>
              <w:right w:val="single" w:sz="8" w:space="0" w:color="auto"/>
            </w:tcBorders>
            <w:shd w:val="clear" w:color="000000" w:fill="8EA9DB"/>
            <w:vAlign w:val="center"/>
            <w:hideMark/>
          </w:tcPr>
          <w:p w14:paraId="52D75675"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$1,470.0</w:t>
            </w:r>
          </w:p>
        </w:tc>
        <w:tc>
          <w:tcPr>
            <w:tcW w:w="1087" w:type="dxa"/>
            <w:tcBorders>
              <w:top w:val="single" w:sz="8" w:space="0" w:color="auto"/>
              <w:left w:val="nil"/>
              <w:bottom w:val="single" w:sz="8" w:space="0" w:color="auto"/>
              <w:right w:val="single" w:sz="8" w:space="0" w:color="auto"/>
            </w:tcBorders>
            <w:shd w:val="clear" w:color="000000" w:fill="8EA9DB"/>
            <w:noWrap/>
            <w:vAlign w:val="center"/>
            <w:hideMark/>
          </w:tcPr>
          <w:p w14:paraId="2AF796D6"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$1,390.0</w:t>
            </w:r>
          </w:p>
        </w:tc>
        <w:tc>
          <w:tcPr>
            <w:tcW w:w="1187" w:type="dxa"/>
            <w:tcBorders>
              <w:top w:val="nil"/>
              <w:left w:val="nil"/>
              <w:bottom w:val="single" w:sz="8" w:space="0" w:color="auto"/>
              <w:right w:val="single" w:sz="8" w:space="0" w:color="auto"/>
            </w:tcBorders>
            <w:shd w:val="clear" w:color="000000" w:fill="8EA9DB"/>
            <w:vAlign w:val="center"/>
            <w:hideMark/>
          </w:tcPr>
          <w:p w14:paraId="776253C6"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$2,026.0</w:t>
            </w:r>
          </w:p>
        </w:tc>
        <w:tc>
          <w:tcPr>
            <w:tcW w:w="1082" w:type="dxa"/>
            <w:tcBorders>
              <w:top w:val="nil"/>
              <w:left w:val="nil"/>
              <w:bottom w:val="single" w:sz="8" w:space="0" w:color="auto"/>
              <w:right w:val="single" w:sz="8" w:space="0" w:color="auto"/>
            </w:tcBorders>
            <w:shd w:val="clear" w:color="000000" w:fill="8EA9DB"/>
            <w:vAlign w:val="center"/>
            <w:hideMark/>
          </w:tcPr>
          <w:p w14:paraId="1234D070"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$2,276.5</w:t>
            </w:r>
          </w:p>
        </w:tc>
        <w:tc>
          <w:tcPr>
            <w:tcW w:w="1093" w:type="dxa"/>
            <w:tcBorders>
              <w:top w:val="nil"/>
              <w:left w:val="nil"/>
              <w:bottom w:val="single" w:sz="8" w:space="0" w:color="auto"/>
              <w:right w:val="single" w:sz="8" w:space="0" w:color="auto"/>
            </w:tcBorders>
            <w:shd w:val="clear" w:color="000000" w:fill="8EA9DB"/>
            <w:vAlign w:val="center"/>
            <w:hideMark/>
          </w:tcPr>
          <w:p w14:paraId="0F2D15C2" w14:textId="77777777" w:rsidR="00EF3982" w:rsidRPr="000A0B8F" w:rsidRDefault="00EF3982">
            <w:pPr>
              <w:jc w:val="center"/>
              <w:rPr>
                <w:rFonts w:ascii="Calibri" w:hAnsi="Calibri"/>
                <w:b/>
                <w:bCs/>
                <w:color w:val="000000"/>
                <w:sz w:val="18"/>
                <w:szCs w:val="18"/>
              </w:rPr>
            </w:pPr>
            <w:r w:rsidRPr="000A0B8F">
              <w:rPr>
                <w:rFonts w:ascii="Calibri" w:hAnsi="Calibri"/>
                <w:b/>
                <w:bCs/>
                <w:color w:val="000000"/>
                <w:sz w:val="18"/>
                <w:szCs w:val="18"/>
              </w:rPr>
              <w:t>$2,452.0</w:t>
            </w:r>
          </w:p>
        </w:tc>
      </w:tr>
    </w:tbl>
    <w:p w14:paraId="7262EAC4" w14:textId="77777777" w:rsidR="00EF3982" w:rsidRPr="00517CA0" w:rsidRDefault="00EF3982" w:rsidP="00BA119F">
      <w:pPr>
        <w:rPr>
          <w:sz w:val="22"/>
          <w:szCs w:val="22"/>
        </w:rPr>
      </w:pPr>
    </w:p>
    <w:p w14:paraId="16EB9F8D" w14:textId="0E2F93B7" w:rsidR="006C6030" w:rsidRDefault="00FC7CDF" w:rsidP="009F175B">
      <w:pPr>
        <w:rPr>
          <w:b/>
          <w:sz w:val="22"/>
          <w:szCs w:val="22"/>
          <w:u w:val="single"/>
        </w:rPr>
      </w:pPr>
      <w:r w:rsidRPr="00517CA0">
        <w:rPr>
          <w:b/>
          <w:sz w:val="22"/>
          <w:szCs w:val="22"/>
          <w:u w:val="single"/>
        </w:rPr>
        <w:t xml:space="preserve">Fulfilling the promise of the FAST Act’s </w:t>
      </w:r>
      <w:r w:rsidR="006C6030" w:rsidRPr="00517CA0">
        <w:rPr>
          <w:b/>
          <w:sz w:val="22"/>
          <w:szCs w:val="22"/>
          <w:u w:val="single"/>
        </w:rPr>
        <w:t xml:space="preserve">multi-year </w:t>
      </w:r>
      <w:r w:rsidRPr="00517CA0">
        <w:rPr>
          <w:b/>
          <w:sz w:val="22"/>
          <w:szCs w:val="22"/>
          <w:u w:val="single"/>
        </w:rPr>
        <w:t xml:space="preserve">rail authorization </w:t>
      </w:r>
      <w:r w:rsidR="006C6030" w:rsidRPr="00517CA0">
        <w:rPr>
          <w:b/>
          <w:sz w:val="22"/>
          <w:szCs w:val="22"/>
          <w:u w:val="single"/>
        </w:rPr>
        <w:t>will allow state and local governments, railroads and Amtrak to make critical investments to:</w:t>
      </w:r>
    </w:p>
    <w:p w14:paraId="7B17E34D" w14:textId="77777777" w:rsidR="00EF3982" w:rsidRPr="00EF3982" w:rsidRDefault="00EF3982" w:rsidP="009F175B">
      <w:pPr>
        <w:rPr>
          <w:b/>
          <w:sz w:val="22"/>
          <w:szCs w:val="22"/>
          <w:u w:val="single"/>
        </w:rPr>
      </w:pPr>
    </w:p>
    <w:p w14:paraId="3A5E87FF" w14:textId="77777777" w:rsidR="006C6030" w:rsidRPr="00517CA0" w:rsidRDefault="006C6030" w:rsidP="00D340CE">
      <w:pPr>
        <w:numPr>
          <w:ilvl w:val="0"/>
          <w:numId w:val="5"/>
        </w:numPr>
        <w:rPr>
          <w:b/>
          <w:sz w:val="22"/>
          <w:szCs w:val="22"/>
        </w:rPr>
      </w:pPr>
      <w:r w:rsidRPr="00517CA0">
        <w:rPr>
          <w:b/>
          <w:sz w:val="22"/>
          <w:szCs w:val="22"/>
        </w:rPr>
        <w:t>Acquire new, state-of-the-art locomotives and cars:</w:t>
      </w:r>
    </w:p>
    <w:p w14:paraId="03E2ED5E" w14:textId="68BCA218" w:rsidR="006C6030" w:rsidRPr="00517CA0" w:rsidRDefault="006C6030" w:rsidP="00D340CE">
      <w:pPr>
        <w:numPr>
          <w:ilvl w:val="0"/>
          <w:numId w:val="3"/>
        </w:numPr>
        <w:rPr>
          <w:sz w:val="22"/>
          <w:szCs w:val="22"/>
        </w:rPr>
      </w:pPr>
      <w:r w:rsidRPr="00517CA0">
        <w:rPr>
          <w:sz w:val="22"/>
          <w:szCs w:val="22"/>
        </w:rPr>
        <w:t xml:space="preserve">The existing fleet </w:t>
      </w:r>
      <w:r w:rsidR="00D1652A">
        <w:rPr>
          <w:sz w:val="22"/>
          <w:szCs w:val="22"/>
        </w:rPr>
        <w:t xml:space="preserve">of locomotives and cars </w:t>
      </w:r>
      <w:r w:rsidRPr="00517CA0">
        <w:rPr>
          <w:sz w:val="22"/>
          <w:szCs w:val="22"/>
        </w:rPr>
        <w:t>is t</w:t>
      </w:r>
      <w:r w:rsidR="00D1652A">
        <w:rPr>
          <w:sz w:val="22"/>
          <w:szCs w:val="22"/>
        </w:rPr>
        <w:t>oo small to meet current demand</w:t>
      </w:r>
      <w:r w:rsidR="00F84E07">
        <w:rPr>
          <w:sz w:val="22"/>
          <w:szCs w:val="22"/>
        </w:rPr>
        <w:t>.</w:t>
      </w:r>
    </w:p>
    <w:p w14:paraId="771200F1" w14:textId="00E13684" w:rsidR="006C6030" w:rsidRPr="00517CA0" w:rsidRDefault="5C123CB4" w:rsidP="00D340CE">
      <w:pPr>
        <w:numPr>
          <w:ilvl w:val="0"/>
          <w:numId w:val="3"/>
        </w:numPr>
        <w:rPr>
          <w:sz w:val="22"/>
          <w:szCs w:val="22"/>
        </w:rPr>
      </w:pPr>
      <w:r w:rsidRPr="5C123CB4">
        <w:rPr>
          <w:sz w:val="22"/>
          <w:szCs w:val="22"/>
        </w:rPr>
        <w:t>Th</w:t>
      </w:r>
      <w:r w:rsidR="00D1652A">
        <w:rPr>
          <w:sz w:val="22"/>
          <w:szCs w:val="22"/>
        </w:rPr>
        <w:t xml:space="preserve">e existing </w:t>
      </w:r>
      <w:r w:rsidRPr="5C123CB4">
        <w:rPr>
          <w:sz w:val="22"/>
          <w:szCs w:val="22"/>
        </w:rPr>
        <w:t>fleet is aging</w:t>
      </w:r>
      <w:r w:rsidR="00D1652A">
        <w:rPr>
          <w:sz w:val="22"/>
          <w:szCs w:val="22"/>
        </w:rPr>
        <w:t xml:space="preserve"> &amp; </w:t>
      </w:r>
      <w:r w:rsidRPr="5C123CB4">
        <w:rPr>
          <w:sz w:val="22"/>
          <w:szCs w:val="22"/>
        </w:rPr>
        <w:t>expensive to maintain</w:t>
      </w:r>
      <w:r w:rsidR="00D1652A">
        <w:rPr>
          <w:sz w:val="22"/>
          <w:szCs w:val="22"/>
        </w:rPr>
        <w:t xml:space="preserve">; </w:t>
      </w:r>
      <w:r w:rsidRPr="5C123CB4">
        <w:rPr>
          <w:sz w:val="22"/>
          <w:szCs w:val="22"/>
        </w:rPr>
        <w:t xml:space="preserve">heating </w:t>
      </w:r>
      <w:r w:rsidR="00D1652A">
        <w:rPr>
          <w:sz w:val="22"/>
          <w:szCs w:val="22"/>
        </w:rPr>
        <w:t>&amp;</w:t>
      </w:r>
      <w:r w:rsidRPr="5C123CB4">
        <w:rPr>
          <w:sz w:val="22"/>
          <w:szCs w:val="22"/>
        </w:rPr>
        <w:t xml:space="preserve"> cooling, </w:t>
      </w:r>
      <w:r w:rsidR="00D1652A">
        <w:rPr>
          <w:sz w:val="22"/>
          <w:szCs w:val="22"/>
        </w:rPr>
        <w:t>toilet and other system failures are common.</w:t>
      </w:r>
    </w:p>
    <w:p w14:paraId="1A7807F9" w14:textId="41E4344A" w:rsidR="006C6030" w:rsidRDefault="5C123CB4" w:rsidP="00204903">
      <w:pPr>
        <w:numPr>
          <w:ilvl w:val="0"/>
          <w:numId w:val="3"/>
        </w:numPr>
        <w:rPr>
          <w:sz w:val="22"/>
          <w:szCs w:val="22"/>
        </w:rPr>
      </w:pPr>
      <w:r w:rsidRPr="5C123CB4">
        <w:rPr>
          <w:sz w:val="22"/>
          <w:szCs w:val="22"/>
        </w:rPr>
        <w:t>New equipment will boost revenues, cut operat</w:t>
      </w:r>
      <w:r w:rsidR="00D1652A">
        <w:rPr>
          <w:sz w:val="22"/>
          <w:szCs w:val="22"/>
        </w:rPr>
        <w:t xml:space="preserve">ing costs, permit longer trains to increase capacity, </w:t>
      </w:r>
      <w:r w:rsidRPr="5C123CB4">
        <w:rPr>
          <w:sz w:val="22"/>
          <w:szCs w:val="22"/>
        </w:rPr>
        <w:t xml:space="preserve">increase frequencies and add new routes. </w:t>
      </w:r>
    </w:p>
    <w:p w14:paraId="5E77FE1A" w14:textId="77777777" w:rsidR="00EF3982" w:rsidRPr="00EF3982" w:rsidRDefault="00EF3982" w:rsidP="00EF3982">
      <w:pPr>
        <w:rPr>
          <w:sz w:val="22"/>
          <w:szCs w:val="22"/>
        </w:rPr>
      </w:pPr>
    </w:p>
    <w:p w14:paraId="06B3E35F" w14:textId="4A8F921E" w:rsidR="006C6030" w:rsidRPr="00517CA0" w:rsidRDefault="00A065DE" w:rsidP="00D340CE">
      <w:pPr>
        <w:numPr>
          <w:ilvl w:val="0"/>
          <w:numId w:val="5"/>
        </w:numPr>
        <w:rPr>
          <w:b/>
          <w:sz w:val="22"/>
          <w:szCs w:val="22"/>
        </w:rPr>
      </w:pPr>
      <w:r w:rsidRPr="00517CA0">
        <w:rPr>
          <w:b/>
          <w:sz w:val="22"/>
          <w:szCs w:val="22"/>
        </w:rPr>
        <w:t xml:space="preserve">Restore </w:t>
      </w:r>
      <w:r w:rsidR="0095695C" w:rsidRPr="00517CA0">
        <w:rPr>
          <w:b/>
          <w:sz w:val="22"/>
          <w:szCs w:val="22"/>
        </w:rPr>
        <w:t xml:space="preserve">and expand </w:t>
      </w:r>
      <w:r w:rsidRPr="00517CA0">
        <w:rPr>
          <w:b/>
          <w:sz w:val="22"/>
          <w:szCs w:val="22"/>
        </w:rPr>
        <w:t xml:space="preserve">crucial connections </w:t>
      </w:r>
      <w:r w:rsidR="00D1652A">
        <w:rPr>
          <w:b/>
          <w:sz w:val="22"/>
          <w:szCs w:val="22"/>
        </w:rPr>
        <w:t>across</w:t>
      </w:r>
      <w:r w:rsidRPr="00517CA0">
        <w:rPr>
          <w:b/>
          <w:sz w:val="22"/>
          <w:szCs w:val="22"/>
        </w:rPr>
        <w:t xml:space="preserve"> the National Rail Network</w:t>
      </w:r>
      <w:r w:rsidR="006C6030" w:rsidRPr="00517CA0">
        <w:rPr>
          <w:b/>
          <w:sz w:val="22"/>
          <w:szCs w:val="22"/>
        </w:rPr>
        <w:t xml:space="preserve">: </w:t>
      </w:r>
    </w:p>
    <w:p w14:paraId="2681DA57" w14:textId="29BFD43B" w:rsidR="00D1652A" w:rsidRPr="00D5795D" w:rsidRDefault="0095695C" w:rsidP="00D5795D">
      <w:pPr>
        <w:pStyle w:val="ListParagraph"/>
        <w:numPr>
          <w:ilvl w:val="0"/>
          <w:numId w:val="14"/>
        </w:numPr>
        <w:rPr>
          <w:sz w:val="22"/>
          <w:szCs w:val="22"/>
        </w:rPr>
      </w:pPr>
      <w:r w:rsidRPr="00D5795D">
        <w:rPr>
          <w:sz w:val="22"/>
          <w:szCs w:val="22"/>
        </w:rPr>
        <w:t xml:space="preserve">The Gulf Coast Passenger Rail Working Group, authorized by the FAST Act, is working with scores of local communities in Florida, Alabama, Mississippi, and Louisiana to bring back train service to the region; </w:t>
      </w:r>
      <w:r w:rsidRPr="00D5795D">
        <w:rPr>
          <w:sz w:val="22"/>
          <w:szCs w:val="22"/>
        </w:rPr>
        <w:lastRenderedPageBreak/>
        <w:t>seven of the 12 communities between New Orleans and Jacksonville whose service was suspended post-Katrina have no air service, and four have no intercity bus service, leaving those areas without any public transportation option</w:t>
      </w:r>
      <w:r w:rsidR="00D1652A" w:rsidRPr="00D5795D">
        <w:rPr>
          <w:sz w:val="22"/>
          <w:szCs w:val="22"/>
        </w:rPr>
        <w:t>s</w:t>
      </w:r>
      <w:r w:rsidRPr="00D5795D">
        <w:rPr>
          <w:sz w:val="22"/>
          <w:szCs w:val="22"/>
        </w:rPr>
        <w:t xml:space="preserve">. </w:t>
      </w:r>
    </w:p>
    <w:p w14:paraId="12A61E57" w14:textId="569AEB79" w:rsidR="00D1652A" w:rsidRPr="00D5795D" w:rsidRDefault="2C3B1D5C" w:rsidP="00D5795D">
      <w:pPr>
        <w:pStyle w:val="ListParagraph"/>
        <w:numPr>
          <w:ilvl w:val="0"/>
          <w:numId w:val="14"/>
        </w:numPr>
        <w:rPr>
          <w:sz w:val="22"/>
          <w:szCs w:val="22"/>
        </w:rPr>
      </w:pPr>
      <w:r w:rsidRPr="00D5795D">
        <w:rPr>
          <w:sz w:val="22"/>
          <w:szCs w:val="22"/>
        </w:rPr>
        <w:t>Upgrade passenger rail infrastructure serving the Southwest Chief</w:t>
      </w:r>
      <w:r w:rsidR="00D1652A" w:rsidRPr="00D5795D">
        <w:rPr>
          <w:sz w:val="22"/>
          <w:szCs w:val="22"/>
        </w:rPr>
        <w:t xml:space="preserve"> </w:t>
      </w:r>
      <w:r w:rsidRPr="00D5795D">
        <w:rPr>
          <w:sz w:val="22"/>
          <w:szCs w:val="22"/>
        </w:rPr>
        <w:t>between Kansas and New Mexico via Colorado, which provides a critical economic link for dozens of mid-sized cities and ru</w:t>
      </w:r>
      <w:r w:rsidR="00D1652A" w:rsidRPr="00D5795D">
        <w:rPr>
          <w:sz w:val="22"/>
          <w:szCs w:val="22"/>
        </w:rPr>
        <w:t>ral communities along the route.</w:t>
      </w:r>
    </w:p>
    <w:p w14:paraId="6F5665B6" w14:textId="77944532" w:rsidR="00A065DE" w:rsidRDefault="2C3B1D5C" w:rsidP="00A065DE">
      <w:pPr>
        <w:pStyle w:val="ListParagraph"/>
        <w:numPr>
          <w:ilvl w:val="0"/>
          <w:numId w:val="14"/>
        </w:numPr>
        <w:rPr>
          <w:sz w:val="22"/>
          <w:szCs w:val="22"/>
        </w:rPr>
      </w:pPr>
      <w:r w:rsidRPr="00D5795D">
        <w:rPr>
          <w:sz w:val="22"/>
          <w:szCs w:val="22"/>
        </w:rPr>
        <w:t>Provide a strong federal partner to California state leaders who are m</w:t>
      </w:r>
      <w:r w:rsidR="00D5795D">
        <w:rPr>
          <w:sz w:val="22"/>
          <w:szCs w:val="22"/>
        </w:rPr>
        <w:t xml:space="preserve">oving ahead with the California </w:t>
      </w:r>
      <w:r w:rsidRPr="00D5795D">
        <w:rPr>
          <w:sz w:val="22"/>
          <w:szCs w:val="22"/>
        </w:rPr>
        <w:t>High-Speed Rail project; the recently updated business plan has reduced costs by $4 billion and moved up initial operations by shifting north to connect the Central Valley with the Silicon Valley.</w:t>
      </w:r>
    </w:p>
    <w:p w14:paraId="3C5C1279" w14:textId="77777777" w:rsidR="00EF3982" w:rsidRPr="00EF3982" w:rsidRDefault="00EF3982" w:rsidP="00EF3982">
      <w:pPr>
        <w:rPr>
          <w:sz w:val="22"/>
          <w:szCs w:val="22"/>
        </w:rPr>
      </w:pPr>
    </w:p>
    <w:p w14:paraId="794012EC" w14:textId="48E1B311" w:rsidR="006C6030" w:rsidRPr="00517CA0" w:rsidRDefault="00FC7CDF" w:rsidP="00D340CE">
      <w:pPr>
        <w:numPr>
          <w:ilvl w:val="0"/>
          <w:numId w:val="5"/>
        </w:numPr>
        <w:rPr>
          <w:b/>
          <w:sz w:val="22"/>
          <w:szCs w:val="22"/>
        </w:rPr>
      </w:pPr>
      <w:r w:rsidRPr="00517CA0">
        <w:rPr>
          <w:b/>
          <w:sz w:val="22"/>
          <w:szCs w:val="22"/>
        </w:rPr>
        <w:t>Eliminate critical bottlenecks</w:t>
      </w:r>
      <w:r w:rsidR="00D5795D">
        <w:rPr>
          <w:b/>
          <w:sz w:val="22"/>
          <w:szCs w:val="22"/>
        </w:rPr>
        <w:t>, such as</w:t>
      </w:r>
      <w:r w:rsidR="006C6030" w:rsidRPr="00517CA0">
        <w:rPr>
          <w:b/>
          <w:sz w:val="22"/>
          <w:szCs w:val="22"/>
        </w:rPr>
        <w:t xml:space="preserve">: </w:t>
      </w:r>
    </w:p>
    <w:p w14:paraId="53D7A223" w14:textId="032C3C7A" w:rsidR="00A065DE" w:rsidRPr="00517CA0" w:rsidRDefault="00D5795D" w:rsidP="00A065DE">
      <w:pPr>
        <w:pStyle w:val="ListParagraph"/>
        <w:numPr>
          <w:ilvl w:val="0"/>
          <w:numId w:val="11"/>
        </w:numPr>
        <w:rPr>
          <w:sz w:val="22"/>
          <w:szCs w:val="22"/>
        </w:rPr>
      </w:pPr>
      <w:r>
        <w:rPr>
          <w:sz w:val="22"/>
          <w:szCs w:val="22"/>
        </w:rPr>
        <w:t>T</w:t>
      </w:r>
      <w:r w:rsidR="00D1652A">
        <w:rPr>
          <w:sz w:val="22"/>
          <w:szCs w:val="22"/>
        </w:rPr>
        <w:t xml:space="preserve">he </w:t>
      </w:r>
      <w:r>
        <w:rPr>
          <w:sz w:val="22"/>
          <w:szCs w:val="22"/>
        </w:rPr>
        <w:t>New York-New Jersey</w:t>
      </w:r>
      <w:r w:rsidR="00A065DE" w:rsidRPr="00517CA0">
        <w:rPr>
          <w:sz w:val="22"/>
          <w:szCs w:val="22"/>
        </w:rPr>
        <w:t xml:space="preserve"> Gateway and Baltimore tunnel projects </w:t>
      </w:r>
      <w:r>
        <w:rPr>
          <w:sz w:val="22"/>
          <w:szCs w:val="22"/>
        </w:rPr>
        <w:t xml:space="preserve">on </w:t>
      </w:r>
      <w:r w:rsidR="00A065DE" w:rsidRPr="00517CA0">
        <w:rPr>
          <w:sz w:val="22"/>
          <w:szCs w:val="22"/>
        </w:rPr>
        <w:t>the Northeast Corridor;</w:t>
      </w:r>
      <w:r w:rsidR="0095695C" w:rsidRPr="00517CA0">
        <w:rPr>
          <w:sz w:val="22"/>
          <w:szCs w:val="22"/>
        </w:rPr>
        <w:t xml:space="preserve"> the Gateway Project has secured strong support from agencies in New York and New Jersey, who have committed to providing 50% of the necessary funding; a strong federal partner is requ</w:t>
      </w:r>
      <w:r w:rsidR="00D1652A">
        <w:rPr>
          <w:sz w:val="22"/>
          <w:szCs w:val="22"/>
        </w:rPr>
        <w:t>ired to get this project moving.</w:t>
      </w:r>
    </w:p>
    <w:p w14:paraId="40720802" w14:textId="40E57770" w:rsidR="00FC7CDF" w:rsidRDefault="00A065DE" w:rsidP="00FC7CDF">
      <w:pPr>
        <w:pStyle w:val="ListParagraph"/>
        <w:numPr>
          <w:ilvl w:val="0"/>
          <w:numId w:val="11"/>
        </w:numPr>
        <w:rPr>
          <w:sz w:val="22"/>
          <w:szCs w:val="22"/>
        </w:rPr>
      </w:pPr>
      <w:proofErr w:type="spellStart"/>
      <w:r w:rsidRPr="00517CA0">
        <w:rPr>
          <w:sz w:val="22"/>
          <w:szCs w:val="22"/>
        </w:rPr>
        <w:t>CrossRail</w:t>
      </w:r>
      <w:proofErr w:type="spellEnd"/>
      <w:r w:rsidRPr="00517CA0">
        <w:rPr>
          <w:sz w:val="22"/>
          <w:szCs w:val="22"/>
        </w:rPr>
        <w:t xml:space="preserve"> Chicago corridor serving Am</w:t>
      </w:r>
      <w:r w:rsidR="00517CA0" w:rsidRPr="00517CA0">
        <w:rPr>
          <w:sz w:val="22"/>
          <w:szCs w:val="22"/>
        </w:rPr>
        <w:t>trak, Metra, and freight trains.</w:t>
      </w:r>
    </w:p>
    <w:p w14:paraId="5E4ED76E" w14:textId="77777777" w:rsidR="00EF3982" w:rsidRPr="00EF3982" w:rsidRDefault="00EF3982" w:rsidP="00EF3982">
      <w:pPr>
        <w:rPr>
          <w:sz w:val="22"/>
          <w:szCs w:val="22"/>
        </w:rPr>
      </w:pPr>
    </w:p>
    <w:p w14:paraId="4F203B44" w14:textId="77777777" w:rsidR="00A065DE" w:rsidRPr="00517CA0" w:rsidRDefault="00853A4B" w:rsidP="00FC7CDF">
      <w:pPr>
        <w:numPr>
          <w:ilvl w:val="0"/>
          <w:numId w:val="5"/>
        </w:numPr>
        <w:rPr>
          <w:b/>
          <w:sz w:val="22"/>
          <w:szCs w:val="22"/>
        </w:rPr>
      </w:pPr>
      <w:r w:rsidRPr="00517CA0">
        <w:rPr>
          <w:b/>
          <w:sz w:val="22"/>
          <w:szCs w:val="22"/>
        </w:rPr>
        <w:t>Address growing public demand for more</w:t>
      </w:r>
      <w:r w:rsidR="00A065DE" w:rsidRPr="00517CA0">
        <w:rPr>
          <w:b/>
          <w:sz w:val="22"/>
          <w:szCs w:val="22"/>
        </w:rPr>
        <w:t xml:space="preserve"> </w:t>
      </w:r>
      <w:r w:rsidR="0095695C" w:rsidRPr="00517CA0">
        <w:rPr>
          <w:b/>
          <w:sz w:val="22"/>
          <w:szCs w:val="22"/>
        </w:rPr>
        <w:t>passenger rail and transit</w:t>
      </w:r>
      <w:r w:rsidR="00A065DE" w:rsidRPr="00517CA0">
        <w:rPr>
          <w:b/>
          <w:sz w:val="22"/>
          <w:szCs w:val="22"/>
        </w:rPr>
        <w:t xml:space="preserve">: </w:t>
      </w:r>
    </w:p>
    <w:p w14:paraId="0F9C66A8" w14:textId="09778515" w:rsidR="006C6030" w:rsidRPr="00517CA0" w:rsidRDefault="006C6030" w:rsidP="00517CA0">
      <w:pPr>
        <w:numPr>
          <w:ilvl w:val="0"/>
          <w:numId w:val="7"/>
        </w:numPr>
        <w:rPr>
          <w:sz w:val="22"/>
          <w:szCs w:val="22"/>
        </w:rPr>
      </w:pPr>
      <w:r w:rsidRPr="00517CA0">
        <w:rPr>
          <w:sz w:val="22"/>
          <w:szCs w:val="22"/>
        </w:rPr>
        <w:t>America’s transportation infrastructure is inadequate for today’s population;</w:t>
      </w:r>
      <w:r w:rsidR="00517CA0" w:rsidRPr="00517CA0">
        <w:rPr>
          <w:sz w:val="22"/>
          <w:szCs w:val="22"/>
        </w:rPr>
        <w:t xml:space="preserve"> t</w:t>
      </w:r>
      <w:r w:rsidRPr="00517CA0">
        <w:rPr>
          <w:sz w:val="22"/>
          <w:szCs w:val="22"/>
        </w:rPr>
        <w:t>he addition of 70 million more resid</w:t>
      </w:r>
      <w:r w:rsidR="00D1652A">
        <w:rPr>
          <w:sz w:val="22"/>
          <w:szCs w:val="22"/>
        </w:rPr>
        <w:t>ents by 2050 demands expansion.</w:t>
      </w:r>
    </w:p>
    <w:p w14:paraId="6A69F0B3" w14:textId="7E84C87C" w:rsidR="006C6030" w:rsidRDefault="0095695C" w:rsidP="009F175B">
      <w:pPr>
        <w:numPr>
          <w:ilvl w:val="0"/>
          <w:numId w:val="7"/>
        </w:numPr>
        <w:rPr>
          <w:sz w:val="22"/>
          <w:szCs w:val="22"/>
        </w:rPr>
      </w:pPr>
      <w:r w:rsidRPr="00517CA0">
        <w:rPr>
          <w:sz w:val="22"/>
          <w:szCs w:val="22"/>
        </w:rPr>
        <w:t>Millions of Americans today face loss of personal mobility: airlines are cutting back the number of flights and have reduced or discontinued service to literally hundreds of smaller cities.</w:t>
      </w:r>
    </w:p>
    <w:p w14:paraId="50EEAFFD" w14:textId="77777777" w:rsidR="00EF3982" w:rsidRPr="00EF3982" w:rsidRDefault="00EF3982" w:rsidP="00EF3982">
      <w:pPr>
        <w:rPr>
          <w:sz w:val="22"/>
          <w:szCs w:val="22"/>
        </w:rPr>
      </w:pPr>
    </w:p>
    <w:p w14:paraId="29B8A9F7" w14:textId="77777777" w:rsidR="00517CA0" w:rsidRPr="00517CA0" w:rsidRDefault="00517CA0" w:rsidP="00517CA0">
      <w:pPr>
        <w:numPr>
          <w:ilvl w:val="0"/>
          <w:numId w:val="5"/>
        </w:numPr>
        <w:rPr>
          <w:b/>
          <w:sz w:val="22"/>
          <w:szCs w:val="22"/>
        </w:rPr>
      </w:pPr>
      <w:r w:rsidRPr="00517CA0">
        <w:rPr>
          <w:b/>
          <w:sz w:val="22"/>
          <w:szCs w:val="22"/>
        </w:rPr>
        <w:t xml:space="preserve">Support private sector investment in passenger rail: </w:t>
      </w:r>
    </w:p>
    <w:p w14:paraId="15DC3481" w14:textId="77777777" w:rsidR="00517CA0" w:rsidRPr="00517CA0" w:rsidRDefault="00517CA0" w:rsidP="00517CA0">
      <w:pPr>
        <w:pStyle w:val="ListParagraph"/>
        <w:numPr>
          <w:ilvl w:val="0"/>
          <w:numId w:val="12"/>
        </w:numPr>
        <w:rPr>
          <w:sz w:val="22"/>
          <w:szCs w:val="22"/>
        </w:rPr>
      </w:pPr>
      <w:r w:rsidRPr="00517CA0">
        <w:rPr>
          <w:sz w:val="22"/>
          <w:szCs w:val="22"/>
        </w:rPr>
        <w:t xml:space="preserve">By streamlining the RRIF program and introducing passenger rail categorical exemptions from the regulatory process, Congress can support companies looking to invest private sector funds in passenger rail projects, including: </w:t>
      </w:r>
    </w:p>
    <w:p w14:paraId="3A8D8EBB" w14:textId="32645039" w:rsidR="00517CA0" w:rsidRPr="00517CA0" w:rsidRDefault="2C3B1D5C" w:rsidP="00517CA0">
      <w:pPr>
        <w:pStyle w:val="ListParagraph"/>
        <w:numPr>
          <w:ilvl w:val="1"/>
          <w:numId w:val="12"/>
        </w:numPr>
        <w:rPr>
          <w:sz w:val="22"/>
          <w:szCs w:val="22"/>
        </w:rPr>
      </w:pPr>
      <w:r w:rsidRPr="2C3B1D5C">
        <w:rPr>
          <w:sz w:val="22"/>
          <w:szCs w:val="22"/>
        </w:rPr>
        <w:t xml:space="preserve">All Aboard Florida’s </w:t>
      </w:r>
      <w:proofErr w:type="spellStart"/>
      <w:r w:rsidRPr="2C3B1D5C">
        <w:rPr>
          <w:i/>
          <w:iCs/>
          <w:sz w:val="22"/>
          <w:szCs w:val="22"/>
        </w:rPr>
        <w:t>Brightline</w:t>
      </w:r>
      <w:proofErr w:type="spellEnd"/>
      <w:r w:rsidRPr="2C3B1D5C">
        <w:rPr>
          <w:sz w:val="22"/>
          <w:szCs w:val="22"/>
        </w:rPr>
        <w:t xml:space="preserve"> train, connecting Orlando, West Palm Beach, and Miami</w:t>
      </w:r>
    </w:p>
    <w:p w14:paraId="18F8EAA8" w14:textId="4D665A2C" w:rsidR="00517CA0" w:rsidRPr="00517CA0" w:rsidRDefault="00517CA0" w:rsidP="00517CA0">
      <w:pPr>
        <w:pStyle w:val="ListParagraph"/>
        <w:numPr>
          <w:ilvl w:val="1"/>
          <w:numId w:val="12"/>
        </w:numPr>
        <w:rPr>
          <w:sz w:val="22"/>
          <w:szCs w:val="22"/>
        </w:rPr>
      </w:pPr>
      <w:r w:rsidRPr="00517CA0">
        <w:rPr>
          <w:sz w:val="22"/>
          <w:szCs w:val="22"/>
        </w:rPr>
        <w:t xml:space="preserve">Texas Central Partners high-speed passenger railway between Houston and Dallas </w:t>
      </w:r>
    </w:p>
    <w:p w14:paraId="612D15EB" w14:textId="6435A71B" w:rsidR="00517CA0" w:rsidRPr="00517CA0" w:rsidRDefault="00517CA0" w:rsidP="00517CA0">
      <w:pPr>
        <w:pStyle w:val="ListParagraph"/>
        <w:numPr>
          <w:ilvl w:val="1"/>
          <w:numId w:val="12"/>
        </w:numPr>
        <w:rPr>
          <w:sz w:val="22"/>
          <w:szCs w:val="22"/>
        </w:rPr>
      </w:pPr>
      <w:proofErr w:type="spellStart"/>
      <w:r w:rsidRPr="00517CA0">
        <w:rPr>
          <w:sz w:val="22"/>
          <w:szCs w:val="22"/>
        </w:rPr>
        <w:t>XpressWest’s</w:t>
      </w:r>
      <w:proofErr w:type="spellEnd"/>
      <w:r w:rsidRPr="00517CA0">
        <w:rPr>
          <w:sz w:val="22"/>
          <w:szCs w:val="22"/>
        </w:rPr>
        <w:t xml:space="preserve"> high-speed rail corridor between Las Veg</w:t>
      </w:r>
      <w:r w:rsidR="00D1652A">
        <w:rPr>
          <w:sz w:val="22"/>
          <w:szCs w:val="22"/>
        </w:rPr>
        <w:t>as, NV and Southern California</w:t>
      </w:r>
    </w:p>
    <w:p w14:paraId="104FE415" w14:textId="77777777" w:rsidR="00853A4B" w:rsidRPr="00517CA0" w:rsidRDefault="00853A4B" w:rsidP="009F175B">
      <w:pPr>
        <w:rPr>
          <w:sz w:val="22"/>
          <w:szCs w:val="22"/>
        </w:rPr>
      </w:pPr>
    </w:p>
    <w:p w14:paraId="645A98D9" w14:textId="77777777" w:rsidR="006C6030" w:rsidRDefault="00673726" w:rsidP="009F175B">
      <w:pPr>
        <w:rPr>
          <w:b/>
          <w:sz w:val="22"/>
          <w:szCs w:val="22"/>
          <w:u w:val="single"/>
        </w:rPr>
      </w:pPr>
      <w:r w:rsidRPr="00517CA0">
        <w:rPr>
          <w:b/>
          <w:sz w:val="22"/>
          <w:szCs w:val="22"/>
          <w:u w:val="single"/>
        </w:rPr>
        <w:t>Work with the Surface Transportation Board (STB) to protect efficient, on-time train service:</w:t>
      </w:r>
    </w:p>
    <w:p w14:paraId="6FE26A4E" w14:textId="77777777" w:rsidR="00EF3982" w:rsidRPr="00537116" w:rsidRDefault="00EF3982" w:rsidP="00537116">
      <w:pPr>
        <w:rPr>
          <w:sz w:val="16"/>
          <w:szCs w:val="16"/>
        </w:rPr>
      </w:pPr>
    </w:p>
    <w:p w14:paraId="13F240AE" w14:textId="64C36B82" w:rsidR="00EF3982" w:rsidRDefault="2C3B1D5C" w:rsidP="00537116">
      <w:pPr>
        <w:pStyle w:val="ListParagraph"/>
        <w:numPr>
          <w:ilvl w:val="0"/>
          <w:numId w:val="12"/>
        </w:numPr>
        <w:rPr>
          <w:sz w:val="22"/>
          <w:szCs w:val="22"/>
        </w:rPr>
      </w:pPr>
      <w:r w:rsidRPr="000A0B8F">
        <w:rPr>
          <w:sz w:val="22"/>
          <w:szCs w:val="22"/>
        </w:rPr>
        <w:t>NARP</w:t>
      </w:r>
      <w:r w:rsidR="00537116" w:rsidRPr="000A0B8F">
        <w:rPr>
          <w:sz w:val="22"/>
          <w:szCs w:val="22"/>
        </w:rPr>
        <w:t xml:space="preserve"> is participating in the 8</w:t>
      </w:r>
      <w:r w:rsidR="00537116" w:rsidRPr="000A0B8F">
        <w:rPr>
          <w:sz w:val="22"/>
          <w:szCs w:val="22"/>
          <w:vertAlign w:val="superscript"/>
        </w:rPr>
        <w:t>th</w:t>
      </w:r>
      <w:r w:rsidR="00537116" w:rsidRPr="000A0B8F">
        <w:rPr>
          <w:sz w:val="22"/>
          <w:szCs w:val="22"/>
        </w:rPr>
        <w:t xml:space="preserve"> Circuit District Court Case between the </w:t>
      </w:r>
      <w:r w:rsidRPr="000A0B8F">
        <w:rPr>
          <w:sz w:val="22"/>
          <w:szCs w:val="22"/>
        </w:rPr>
        <w:t xml:space="preserve">STB </w:t>
      </w:r>
      <w:r w:rsidR="00537116" w:rsidRPr="000A0B8F">
        <w:rPr>
          <w:sz w:val="22"/>
          <w:szCs w:val="22"/>
        </w:rPr>
        <w:t xml:space="preserve">and the Association of American Railroads </w:t>
      </w:r>
      <w:r w:rsidRPr="000A0B8F">
        <w:rPr>
          <w:sz w:val="22"/>
          <w:szCs w:val="22"/>
        </w:rPr>
        <w:t xml:space="preserve">regarding On-time Performance (OTP) and </w:t>
      </w:r>
      <w:r w:rsidR="00537116" w:rsidRPr="000A0B8F">
        <w:rPr>
          <w:sz w:val="22"/>
          <w:szCs w:val="22"/>
        </w:rPr>
        <w:t>all station measurement. NARP is urging the courts to reject freight railroads’ challenges to federal on-time performance rule, citing three primary reasons: Congress gave the Surface Transportation Board (STB) the authority, in law, to make the rule; the Board considered public input while making the rule, and; this makes the Board’s move reasonable, and not “arbitrary or capricious.” If the freights overturn the Board’s ability to enforce the standards in the 2008 rail bill “on-time performance of intercity passenger rail in the United States will be reduced or eliminated.”</w:t>
      </w:r>
    </w:p>
    <w:p w14:paraId="01CA16D9" w14:textId="77777777" w:rsidR="000A0B8F" w:rsidRPr="000A0B8F" w:rsidRDefault="000A0B8F" w:rsidP="000A0B8F">
      <w:pPr>
        <w:ind w:left="360"/>
        <w:rPr>
          <w:sz w:val="22"/>
          <w:szCs w:val="22"/>
        </w:rPr>
      </w:pPr>
    </w:p>
    <w:p w14:paraId="073D9AF4" w14:textId="68567D1C" w:rsidR="006C6030" w:rsidRPr="000A0B8F" w:rsidRDefault="00673726" w:rsidP="00537116">
      <w:pPr>
        <w:pStyle w:val="ListParagraph"/>
        <w:numPr>
          <w:ilvl w:val="0"/>
          <w:numId w:val="12"/>
        </w:numPr>
        <w:rPr>
          <w:sz w:val="22"/>
          <w:szCs w:val="22"/>
        </w:rPr>
      </w:pPr>
      <w:r w:rsidRPr="000A0B8F">
        <w:rPr>
          <w:sz w:val="22"/>
          <w:szCs w:val="22"/>
        </w:rPr>
        <w:t xml:space="preserve">To fully engage with the host railroads as </w:t>
      </w:r>
      <w:r w:rsidR="00A065DE" w:rsidRPr="000A0B8F">
        <w:rPr>
          <w:sz w:val="22"/>
          <w:szCs w:val="22"/>
        </w:rPr>
        <w:t xml:space="preserve">equal </w:t>
      </w:r>
      <w:r w:rsidRPr="000A0B8F">
        <w:rPr>
          <w:sz w:val="22"/>
          <w:szCs w:val="22"/>
        </w:rPr>
        <w:t>partners in delivering passenger service, NARP recommends that Congress help establish a framework to p</w:t>
      </w:r>
      <w:r w:rsidR="006C6030" w:rsidRPr="000A0B8F">
        <w:rPr>
          <w:sz w:val="22"/>
          <w:szCs w:val="22"/>
        </w:rPr>
        <w:t xml:space="preserve">rovide financial incentives to railroads to move people on trains that are fast, frequent and on time. </w:t>
      </w:r>
    </w:p>
    <w:sectPr w:rsidR="006C6030" w:rsidRPr="000A0B8F" w:rsidSect="00204903">
      <w:headerReference w:type="default" r:id="rId7"/>
      <w:footerReference w:type="default" r:id="rId8"/>
      <w:headerReference w:type="first" r:id="rId9"/>
      <w:footerReference w:type="first" r:id="rId10"/>
      <w:pgSz w:w="12240" w:h="15840"/>
      <w:pgMar w:top="1440" w:right="1008" w:bottom="144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995D" w14:textId="77777777" w:rsidR="00721BB7" w:rsidRDefault="00721BB7">
      <w:r>
        <w:separator/>
      </w:r>
    </w:p>
  </w:endnote>
  <w:endnote w:type="continuationSeparator" w:id="0">
    <w:p w14:paraId="0952D2C3" w14:textId="77777777" w:rsidR="00721BB7" w:rsidRDefault="0072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A0C8" w14:textId="77777777" w:rsidR="006C6030" w:rsidRDefault="00B055C9" w:rsidP="001E04EF">
    <w:pPr>
      <w:pStyle w:val="Footer"/>
      <w:ind w:left="-180"/>
      <w:jc w:val="center"/>
    </w:pPr>
    <w:r>
      <w:rPr>
        <w:noProof/>
      </w:rPr>
      <w:drawing>
        <wp:inline distT="0" distB="0" distL="0" distR="0" wp14:anchorId="5A59BF97" wp14:editId="07777777">
          <wp:extent cx="1371600" cy="659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91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1BEE" w14:textId="77777777" w:rsidR="006C6030" w:rsidRDefault="00B055C9">
    <w:pPr>
      <w:pStyle w:val="Footer"/>
    </w:pPr>
    <w:r>
      <w:rPr>
        <w:noProof/>
      </w:rPr>
      <w:drawing>
        <wp:anchor distT="0" distB="0" distL="114300" distR="114300" simplePos="0" relativeHeight="251657728" behindDoc="1" locked="0" layoutInCell="1" allowOverlap="1" wp14:anchorId="2BCB4226" wp14:editId="07777777">
          <wp:simplePos x="0" y="0"/>
          <wp:positionH relativeFrom="column">
            <wp:posOffset>42545</wp:posOffset>
          </wp:positionH>
          <wp:positionV relativeFrom="paragraph">
            <wp:posOffset>-943610</wp:posOffset>
          </wp:positionV>
          <wp:extent cx="6223000" cy="1270000"/>
          <wp:effectExtent l="0" t="0" r="635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1270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E2D7" w14:textId="77777777" w:rsidR="00721BB7" w:rsidRDefault="00721BB7">
      <w:r>
        <w:separator/>
      </w:r>
    </w:p>
  </w:footnote>
  <w:footnote w:type="continuationSeparator" w:id="0">
    <w:p w14:paraId="795CDB0D" w14:textId="77777777" w:rsidR="00721BB7" w:rsidRDefault="00721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12CB" w14:textId="77777777" w:rsidR="006C6030" w:rsidRDefault="006C6030" w:rsidP="001E04EF">
    <w:pPr>
      <w:pStyle w:val="Header"/>
      <w:tabs>
        <w:tab w:val="left" w:pos="-270"/>
      </w:tabs>
      <w:ind w:left="-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EB78" w14:textId="77777777" w:rsidR="006C6030" w:rsidRDefault="00B055C9" w:rsidP="00D340CE">
    <w:pPr>
      <w:pStyle w:val="Header"/>
      <w:jc w:val="center"/>
    </w:pPr>
    <w:r>
      <w:rPr>
        <w:noProof/>
      </w:rPr>
      <w:drawing>
        <wp:inline distT="0" distB="0" distL="0" distR="0" wp14:anchorId="68AD282F" wp14:editId="07777777">
          <wp:extent cx="6335395" cy="8966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896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EB4"/>
    <w:multiLevelType w:val="hybridMultilevel"/>
    <w:tmpl w:val="C7C42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A06C6"/>
    <w:multiLevelType w:val="hybridMultilevel"/>
    <w:tmpl w:val="F70E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C5F15"/>
    <w:multiLevelType w:val="hybridMultilevel"/>
    <w:tmpl w:val="0CE4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53EE9"/>
    <w:multiLevelType w:val="hybridMultilevel"/>
    <w:tmpl w:val="1F0C5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90EF2"/>
    <w:multiLevelType w:val="hybridMultilevel"/>
    <w:tmpl w:val="25D83D68"/>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7944"/>
    <w:multiLevelType w:val="hybridMultilevel"/>
    <w:tmpl w:val="CD38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A35C40"/>
    <w:multiLevelType w:val="hybridMultilevel"/>
    <w:tmpl w:val="8B3C0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A3D5B"/>
    <w:multiLevelType w:val="hybridMultilevel"/>
    <w:tmpl w:val="9B00FE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2E302F"/>
    <w:multiLevelType w:val="hybridMultilevel"/>
    <w:tmpl w:val="700AA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6B6EE0"/>
    <w:multiLevelType w:val="hybridMultilevel"/>
    <w:tmpl w:val="A2E4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50E51"/>
    <w:multiLevelType w:val="hybridMultilevel"/>
    <w:tmpl w:val="C0C4D5C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E65228"/>
    <w:multiLevelType w:val="hybridMultilevel"/>
    <w:tmpl w:val="23DE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F30"/>
    <w:multiLevelType w:val="hybridMultilevel"/>
    <w:tmpl w:val="C3D09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46006D"/>
    <w:multiLevelType w:val="hybridMultilevel"/>
    <w:tmpl w:val="E38AA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10"/>
  </w:num>
  <w:num w:numId="6">
    <w:abstractNumId w:val="13"/>
  </w:num>
  <w:num w:numId="7">
    <w:abstractNumId w:val="1"/>
  </w:num>
  <w:num w:numId="8">
    <w:abstractNumId w:val="7"/>
  </w:num>
  <w:num w:numId="9">
    <w:abstractNumId w:val="6"/>
  </w:num>
  <w:num w:numId="10">
    <w:abstractNumId w:val="5"/>
  </w:num>
  <w:num w:numId="11">
    <w:abstractNumId w:val="11"/>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AB"/>
    <w:rsid w:val="000063E9"/>
    <w:rsid w:val="00016A6D"/>
    <w:rsid w:val="00067C26"/>
    <w:rsid w:val="000812E3"/>
    <w:rsid w:val="00081D56"/>
    <w:rsid w:val="0009265F"/>
    <w:rsid w:val="0009408A"/>
    <w:rsid w:val="000A0B8F"/>
    <w:rsid w:val="00125FE6"/>
    <w:rsid w:val="001837A4"/>
    <w:rsid w:val="001E04EF"/>
    <w:rsid w:val="00204903"/>
    <w:rsid w:val="00244F7C"/>
    <w:rsid w:val="002738BB"/>
    <w:rsid w:val="002973DB"/>
    <w:rsid w:val="002D4B3D"/>
    <w:rsid w:val="002F668C"/>
    <w:rsid w:val="003622D3"/>
    <w:rsid w:val="00382AB4"/>
    <w:rsid w:val="0038748F"/>
    <w:rsid w:val="003C5B85"/>
    <w:rsid w:val="00407EAE"/>
    <w:rsid w:val="00426D4C"/>
    <w:rsid w:val="004A32F0"/>
    <w:rsid w:val="004D1A8A"/>
    <w:rsid w:val="00517CA0"/>
    <w:rsid w:val="005368FD"/>
    <w:rsid w:val="00537116"/>
    <w:rsid w:val="005B69FF"/>
    <w:rsid w:val="005E1DBA"/>
    <w:rsid w:val="00612511"/>
    <w:rsid w:val="006252A8"/>
    <w:rsid w:val="0064789B"/>
    <w:rsid w:val="00666FF4"/>
    <w:rsid w:val="00673726"/>
    <w:rsid w:val="006C6030"/>
    <w:rsid w:val="006F6CD2"/>
    <w:rsid w:val="00721BB7"/>
    <w:rsid w:val="00765E91"/>
    <w:rsid w:val="00774F21"/>
    <w:rsid w:val="007A6E8F"/>
    <w:rsid w:val="007C0ECE"/>
    <w:rsid w:val="007C6634"/>
    <w:rsid w:val="00853A4B"/>
    <w:rsid w:val="008867FC"/>
    <w:rsid w:val="008874DD"/>
    <w:rsid w:val="008A1D26"/>
    <w:rsid w:val="008E16C4"/>
    <w:rsid w:val="0095695C"/>
    <w:rsid w:val="00960967"/>
    <w:rsid w:val="009631BC"/>
    <w:rsid w:val="009772BF"/>
    <w:rsid w:val="009A5DBA"/>
    <w:rsid w:val="009C155B"/>
    <w:rsid w:val="009F175B"/>
    <w:rsid w:val="00A065DE"/>
    <w:rsid w:val="00A36BEB"/>
    <w:rsid w:val="00A45743"/>
    <w:rsid w:val="00A63FAB"/>
    <w:rsid w:val="00A84B36"/>
    <w:rsid w:val="00AC4F7C"/>
    <w:rsid w:val="00AF0057"/>
    <w:rsid w:val="00AF3020"/>
    <w:rsid w:val="00B055C9"/>
    <w:rsid w:val="00B42FD7"/>
    <w:rsid w:val="00B96B83"/>
    <w:rsid w:val="00BA119F"/>
    <w:rsid w:val="00BB264E"/>
    <w:rsid w:val="00BD1DF4"/>
    <w:rsid w:val="00C4741E"/>
    <w:rsid w:val="00C93230"/>
    <w:rsid w:val="00CC3053"/>
    <w:rsid w:val="00D1652A"/>
    <w:rsid w:val="00D24101"/>
    <w:rsid w:val="00D27387"/>
    <w:rsid w:val="00D32590"/>
    <w:rsid w:val="00D340CE"/>
    <w:rsid w:val="00D5795D"/>
    <w:rsid w:val="00D61392"/>
    <w:rsid w:val="00D664CD"/>
    <w:rsid w:val="00D67217"/>
    <w:rsid w:val="00D77518"/>
    <w:rsid w:val="00DC5F25"/>
    <w:rsid w:val="00DC6F10"/>
    <w:rsid w:val="00E223BC"/>
    <w:rsid w:val="00E924BF"/>
    <w:rsid w:val="00E94F08"/>
    <w:rsid w:val="00E95D91"/>
    <w:rsid w:val="00ED0C78"/>
    <w:rsid w:val="00EF075D"/>
    <w:rsid w:val="00EF3982"/>
    <w:rsid w:val="00F0413E"/>
    <w:rsid w:val="00F070B6"/>
    <w:rsid w:val="00F61D8D"/>
    <w:rsid w:val="00F84E07"/>
    <w:rsid w:val="00F90301"/>
    <w:rsid w:val="00F950DD"/>
    <w:rsid w:val="00FC7CDF"/>
    <w:rsid w:val="00FD3E48"/>
    <w:rsid w:val="2C3B1D5C"/>
    <w:rsid w:val="5C12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16022"/>
  <w15:docId w15:val="{F56F5994-B11E-43A4-9A64-797EA07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A0"/>
    <w:rPr>
      <w:sz w:val="24"/>
      <w:szCs w:val="24"/>
    </w:rPr>
  </w:style>
  <w:style w:type="paragraph" w:styleId="Heading2">
    <w:name w:val="heading 2"/>
    <w:basedOn w:val="Normal"/>
    <w:next w:val="Normal"/>
    <w:link w:val="Heading2Char"/>
    <w:uiPriority w:val="9"/>
    <w:unhideWhenUsed/>
    <w:qFormat/>
    <w:locked/>
    <w:rsid w:val="00BA119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2D3"/>
    <w:pPr>
      <w:tabs>
        <w:tab w:val="center" w:pos="4320"/>
        <w:tab w:val="right" w:pos="8640"/>
      </w:tabs>
    </w:pPr>
  </w:style>
  <w:style w:type="character" w:customStyle="1" w:styleId="HeaderChar">
    <w:name w:val="Header Char"/>
    <w:basedOn w:val="DefaultParagraphFont"/>
    <w:link w:val="Header"/>
    <w:uiPriority w:val="99"/>
    <w:semiHidden/>
    <w:locked/>
    <w:rsid w:val="00DC5F25"/>
    <w:rPr>
      <w:rFonts w:cs="Times New Roman"/>
      <w:sz w:val="24"/>
      <w:szCs w:val="24"/>
    </w:rPr>
  </w:style>
  <w:style w:type="paragraph" w:styleId="Footer">
    <w:name w:val="footer"/>
    <w:basedOn w:val="Normal"/>
    <w:link w:val="FooterChar"/>
    <w:uiPriority w:val="99"/>
    <w:semiHidden/>
    <w:rsid w:val="003622D3"/>
    <w:pPr>
      <w:tabs>
        <w:tab w:val="center" w:pos="4320"/>
        <w:tab w:val="right" w:pos="8640"/>
      </w:tabs>
    </w:pPr>
  </w:style>
  <w:style w:type="character" w:customStyle="1" w:styleId="FooterChar">
    <w:name w:val="Footer Char"/>
    <w:basedOn w:val="DefaultParagraphFont"/>
    <w:link w:val="Footer"/>
    <w:uiPriority w:val="99"/>
    <w:semiHidden/>
    <w:locked/>
    <w:rsid w:val="00DC5F25"/>
    <w:rPr>
      <w:rFonts w:cs="Times New Roman"/>
      <w:sz w:val="24"/>
      <w:szCs w:val="24"/>
    </w:rPr>
  </w:style>
  <w:style w:type="paragraph" w:styleId="NormalWeb">
    <w:name w:val="Normal (Web)"/>
    <w:basedOn w:val="Normal"/>
    <w:uiPriority w:val="99"/>
    <w:rsid w:val="003622D3"/>
    <w:pPr>
      <w:spacing w:before="100" w:beforeAutospacing="1" w:after="100" w:afterAutospacing="1"/>
    </w:pPr>
    <w:rPr>
      <w:rFonts w:ascii="Times" w:hAnsi="Times"/>
      <w:sz w:val="20"/>
      <w:szCs w:val="20"/>
    </w:rPr>
  </w:style>
  <w:style w:type="paragraph" w:customStyle="1" w:styleId="RecipientAddress">
    <w:name w:val="Recipient Address"/>
    <w:basedOn w:val="Normal"/>
    <w:uiPriority w:val="99"/>
    <w:rsid w:val="001E04EF"/>
  </w:style>
  <w:style w:type="paragraph" w:styleId="Salutation">
    <w:name w:val="Salutation"/>
    <w:basedOn w:val="Normal"/>
    <w:next w:val="Normal"/>
    <w:link w:val="SalutationChar"/>
    <w:uiPriority w:val="99"/>
    <w:rsid w:val="001E04EF"/>
    <w:pPr>
      <w:spacing w:before="480" w:after="240"/>
    </w:pPr>
  </w:style>
  <w:style w:type="character" w:customStyle="1" w:styleId="SalutationChar">
    <w:name w:val="Salutation Char"/>
    <w:basedOn w:val="DefaultParagraphFont"/>
    <w:link w:val="Salutation"/>
    <w:uiPriority w:val="99"/>
    <w:locked/>
    <w:rsid w:val="001E04EF"/>
    <w:rPr>
      <w:rFonts w:cs="Times New Roman"/>
      <w:sz w:val="24"/>
      <w:szCs w:val="24"/>
    </w:rPr>
  </w:style>
  <w:style w:type="paragraph" w:styleId="Closing">
    <w:name w:val="Closing"/>
    <w:basedOn w:val="Normal"/>
    <w:link w:val="ClosingChar"/>
    <w:uiPriority w:val="99"/>
    <w:rsid w:val="001E04EF"/>
    <w:pPr>
      <w:spacing w:after="960"/>
    </w:pPr>
  </w:style>
  <w:style w:type="character" w:customStyle="1" w:styleId="ClosingChar">
    <w:name w:val="Closing Char"/>
    <w:basedOn w:val="DefaultParagraphFont"/>
    <w:link w:val="Closing"/>
    <w:uiPriority w:val="99"/>
    <w:locked/>
    <w:rsid w:val="001E04EF"/>
    <w:rPr>
      <w:rFonts w:cs="Times New Roman"/>
      <w:sz w:val="24"/>
      <w:szCs w:val="24"/>
    </w:rPr>
  </w:style>
  <w:style w:type="paragraph" w:styleId="Signature">
    <w:name w:val="Signature"/>
    <w:basedOn w:val="Normal"/>
    <w:link w:val="SignatureChar"/>
    <w:uiPriority w:val="99"/>
    <w:rsid w:val="001E04EF"/>
  </w:style>
  <w:style w:type="character" w:customStyle="1" w:styleId="SignatureChar">
    <w:name w:val="Signature Char"/>
    <w:basedOn w:val="DefaultParagraphFont"/>
    <w:link w:val="Signature"/>
    <w:uiPriority w:val="99"/>
    <w:locked/>
    <w:rsid w:val="001E04EF"/>
    <w:rPr>
      <w:rFonts w:cs="Times New Roman"/>
      <w:sz w:val="24"/>
      <w:szCs w:val="24"/>
    </w:rPr>
  </w:style>
  <w:style w:type="paragraph" w:styleId="BodyText">
    <w:name w:val="Body Text"/>
    <w:basedOn w:val="Normal"/>
    <w:link w:val="BodyTextChar"/>
    <w:uiPriority w:val="99"/>
    <w:rsid w:val="001E04EF"/>
    <w:pPr>
      <w:spacing w:after="240"/>
    </w:pPr>
  </w:style>
  <w:style w:type="character" w:customStyle="1" w:styleId="BodyTextChar">
    <w:name w:val="Body Text Char"/>
    <w:basedOn w:val="DefaultParagraphFont"/>
    <w:link w:val="BodyText"/>
    <w:uiPriority w:val="99"/>
    <w:locked/>
    <w:rsid w:val="001E04EF"/>
    <w:rPr>
      <w:rFonts w:cs="Times New Roman"/>
      <w:sz w:val="24"/>
      <w:szCs w:val="24"/>
    </w:rPr>
  </w:style>
  <w:style w:type="character" w:customStyle="1" w:styleId="Heading2Char">
    <w:name w:val="Heading 2 Char"/>
    <w:basedOn w:val="DefaultParagraphFont"/>
    <w:link w:val="Heading2"/>
    <w:uiPriority w:val="9"/>
    <w:rsid w:val="00BA119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73726"/>
    <w:pPr>
      <w:ind w:left="720"/>
      <w:contextualSpacing/>
    </w:pPr>
  </w:style>
  <w:style w:type="paragraph" w:styleId="BalloonText">
    <w:name w:val="Balloon Text"/>
    <w:basedOn w:val="Normal"/>
    <w:link w:val="BalloonTextChar"/>
    <w:uiPriority w:val="99"/>
    <w:semiHidden/>
    <w:unhideWhenUsed/>
    <w:rsid w:val="00D77518"/>
    <w:rPr>
      <w:rFonts w:ascii="Tahoma" w:hAnsi="Tahoma" w:cs="Tahoma"/>
      <w:sz w:val="16"/>
      <w:szCs w:val="16"/>
    </w:rPr>
  </w:style>
  <w:style w:type="character" w:customStyle="1" w:styleId="BalloonTextChar">
    <w:name w:val="Balloon Text Char"/>
    <w:basedOn w:val="DefaultParagraphFont"/>
    <w:link w:val="BalloonText"/>
    <w:uiPriority w:val="99"/>
    <w:semiHidden/>
    <w:rsid w:val="00D77518"/>
    <w:rPr>
      <w:rFonts w:ascii="Tahoma" w:hAnsi="Tahoma" w:cs="Tahoma"/>
      <w:sz w:val="16"/>
      <w:szCs w:val="16"/>
    </w:rPr>
  </w:style>
  <w:style w:type="paragraph" w:styleId="NoSpacing">
    <w:name w:val="No Spacing"/>
    <w:uiPriority w:val="1"/>
    <w:qFormat/>
    <w:rsid w:val="00D579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05960">
      <w:bodyDiv w:val="1"/>
      <w:marLeft w:val="0"/>
      <w:marRight w:val="0"/>
      <w:marTop w:val="0"/>
      <w:marBottom w:val="0"/>
      <w:divBdr>
        <w:top w:val="none" w:sz="0" w:space="0" w:color="auto"/>
        <w:left w:val="none" w:sz="0" w:space="0" w:color="auto"/>
        <w:bottom w:val="none" w:sz="0" w:space="0" w:color="auto"/>
        <w:right w:val="none" w:sz="0" w:space="0" w:color="auto"/>
      </w:divBdr>
    </w:div>
    <w:div w:id="1654334247">
      <w:bodyDiv w:val="1"/>
      <w:marLeft w:val="0"/>
      <w:marRight w:val="0"/>
      <w:marTop w:val="0"/>
      <w:marBottom w:val="0"/>
      <w:divBdr>
        <w:top w:val="none" w:sz="0" w:space="0" w:color="auto"/>
        <w:left w:val="none" w:sz="0" w:space="0" w:color="auto"/>
        <w:bottom w:val="none" w:sz="0" w:space="0" w:color="auto"/>
        <w:right w:val="none" w:sz="0" w:space="0" w:color="auto"/>
      </w:divBdr>
    </w:div>
    <w:div w:id="1683320542">
      <w:marLeft w:val="0"/>
      <w:marRight w:val="0"/>
      <w:marTop w:val="0"/>
      <w:marBottom w:val="0"/>
      <w:divBdr>
        <w:top w:val="none" w:sz="0" w:space="0" w:color="auto"/>
        <w:left w:val="none" w:sz="0" w:space="0" w:color="auto"/>
        <w:bottom w:val="none" w:sz="0" w:space="0" w:color="auto"/>
        <w:right w:val="none" w:sz="0" w:space="0" w:color="auto"/>
      </w:divBdr>
    </w:div>
    <w:div w:id="1683320550">
      <w:marLeft w:val="0"/>
      <w:marRight w:val="0"/>
      <w:marTop w:val="0"/>
      <w:marBottom w:val="0"/>
      <w:divBdr>
        <w:top w:val="none" w:sz="0" w:space="0" w:color="auto"/>
        <w:left w:val="none" w:sz="0" w:space="0" w:color="auto"/>
        <w:bottom w:val="none" w:sz="0" w:space="0" w:color="auto"/>
        <w:right w:val="none" w:sz="0" w:space="0" w:color="auto"/>
      </w:divBdr>
    </w:div>
    <w:div w:id="1683320552">
      <w:marLeft w:val="0"/>
      <w:marRight w:val="0"/>
      <w:marTop w:val="0"/>
      <w:marBottom w:val="0"/>
      <w:divBdr>
        <w:top w:val="none" w:sz="0" w:space="0" w:color="auto"/>
        <w:left w:val="none" w:sz="0" w:space="0" w:color="auto"/>
        <w:bottom w:val="none" w:sz="0" w:space="0" w:color="auto"/>
        <w:right w:val="none" w:sz="0" w:space="0" w:color="auto"/>
      </w:divBdr>
      <w:divsChild>
        <w:div w:id="1683320557">
          <w:marLeft w:val="0"/>
          <w:marRight w:val="0"/>
          <w:marTop w:val="0"/>
          <w:marBottom w:val="0"/>
          <w:divBdr>
            <w:top w:val="none" w:sz="0" w:space="0" w:color="auto"/>
            <w:left w:val="none" w:sz="0" w:space="0" w:color="auto"/>
            <w:bottom w:val="none" w:sz="0" w:space="0" w:color="auto"/>
            <w:right w:val="none" w:sz="0" w:space="0" w:color="auto"/>
          </w:divBdr>
          <w:divsChild>
            <w:div w:id="1683320563">
              <w:marLeft w:val="0"/>
              <w:marRight w:val="0"/>
              <w:marTop w:val="0"/>
              <w:marBottom w:val="0"/>
              <w:divBdr>
                <w:top w:val="none" w:sz="0" w:space="0" w:color="auto"/>
                <w:left w:val="none" w:sz="0" w:space="0" w:color="auto"/>
                <w:bottom w:val="none" w:sz="0" w:space="0" w:color="auto"/>
                <w:right w:val="none" w:sz="0" w:space="0" w:color="auto"/>
              </w:divBdr>
              <w:divsChild>
                <w:div w:id="1683320556">
                  <w:marLeft w:val="0"/>
                  <w:marRight w:val="0"/>
                  <w:marTop w:val="0"/>
                  <w:marBottom w:val="0"/>
                  <w:divBdr>
                    <w:top w:val="none" w:sz="0" w:space="0" w:color="auto"/>
                    <w:left w:val="none" w:sz="0" w:space="0" w:color="auto"/>
                    <w:bottom w:val="none" w:sz="0" w:space="0" w:color="auto"/>
                    <w:right w:val="none" w:sz="0" w:space="0" w:color="auto"/>
                  </w:divBdr>
                  <w:divsChild>
                    <w:div w:id="1683320570">
                      <w:marLeft w:val="0"/>
                      <w:marRight w:val="0"/>
                      <w:marTop w:val="0"/>
                      <w:marBottom w:val="0"/>
                      <w:divBdr>
                        <w:top w:val="none" w:sz="0" w:space="0" w:color="auto"/>
                        <w:left w:val="none" w:sz="0" w:space="0" w:color="auto"/>
                        <w:bottom w:val="none" w:sz="0" w:space="0" w:color="auto"/>
                        <w:right w:val="none" w:sz="0" w:space="0" w:color="auto"/>
                      </w:divBdr>
                      <w:divsChild>
                        <w:div w:id="1683320544">
                          <w:marLeft w:val="0"/>
                          <w:marRight w:val="0"/>
                          <w:marTop w:val="0"/>
                          <w:marBottom w:val="0"/>
                          <w:divBdr>
                            <w:top w:val="none" w:sz="0" w:space="0" w:color="auto"/>
                            <w:left w:val="none" w:sz="0" w:space="0" w:color="auto"/>
                            <w:bottom w:val="none" w:sz="0" w:space="0" w:color="auto"/>
                            <w:right w:val="none" w:sz="0" w:space="0" w:color="auto"/>
                          </w:divBdr>
                          <w:divsChild>
                            <w:div w:id="1683320558">
                              <w:marLeft w:val="0"/>
                              <w:marRight w:val="0"/>
                              <w:marTop w:val="0"/>
                              <w:marBottom w:val="0"/>
                              <w:divBdr>
                                <w:top w:val="none" w:sz="0" w:space="0" w:color="auto"/>
                                <w:left w:val="none" w:sz="0" w:space="0" w:color="auto"/>
                                <w:bottom w:val="none" w:sz="0" w:space="0" w:color="auto"/>
                                <w:right w:val="none" w:sz="0" w:space="0" w:color="auto"/>
                              </w:divBdr>
                            </w:div>
                          </w:divsChild>
                        </w:div>
                        <w:div w:id="1683320546">
                          <w:marLeft w:val="0"/>
                          <w:marRight w:val="0"/>
                          <w:marTop w:val="0"/>
                          <w:marBottom w:val="0"/>
                          <w:divBdr>
                            <w:top w:val="none" w:sz="0" w:space="0" w:color="auto"/>
                            <w:left w:val="none" w:sz="0" w:space="0" w:color="auto"/>
                            <w:bottom w:val="none" w:sz="0" w:space="0" w:color="auto"/>
                            <w:right w:val="none" w:sz="0" w:space="0" w:color="auto"/>
                          </w:divBdr>
                          <w:divsChild>
                            <w:div w:id="1683320551">
                              <w:marLeft w:val="0"/>
                              <w:marRight w:val="0"/>
                              <w:marTop w:val="0"/>
                              <w:marBottom w:val="0"/>
                              <w:divBdr>
                                <w:top w:val="none" w:sz="0" w:space="0" w:color="auto"/>
                                <w:left w:val="none" w:sz="0" w:space="0" w:color="auto"/>
                                <w:bottom w:val="none" w:sz="0" w:space="0" w:color="auto"/>
                                <w:right w:val="none" w:sz="0" w:space="0" w:color="auto"/>
                              </w:divBdr>
                            </w:div>
                          </w:divsChild>
                        </w:div>
                        <w:div w:id="1683320547">
                          <w:marLeft w:val="0"/>
                          <w:marRight w:val="0"/>
                          <w:marTop w:val="0"/>
                          <w:marBottom w:val="0"/>
                          <w:divBdr>
                            <w:top w:val="none" w:sz="0" w:space="0" w:color="auto"/>
                            <w:left w:val="none" w:sz="0" w:space="0" w:color="auto"/>
                            <w:bottom w:val="none" w:sz="0" w:space="0" w:color="auto"/>
                            <w:right w:val="none" w:sz="0" w:space="0" w:color="auto"/>
                          </w:divBdr>
                          <w:divsChild>
                            <w:div w:id="1683320562">
                              <w:marLeft w:val="0"/>
                              <w:marRight w:val="0"/>
                              <w:marTop w:val="0"/>
                              <w:marBottom w:val="0"/>
                              <w:divBdr>
                                <w:top w:val="none" w:sz="0" w:space="0" w:color="auto"/>
                                <w:left w:val="none" w:sz="0" w:space="0" w:color="auto"/>
                                <w:bottom w:val="none" w:sz="0" w:space="0" w:color="auto"/>
                                <w:right w:val="none" w:sz="0" w:space="0" w:color="auto"/>
                              </w:divBdr>
                            </w:div>
                          </w:divsChild>
                        </w:div>
                        <w:div w:id="1683320548">
                          <w:marLeft w:val="0"/>
                          <w:marRight w:val="0"/>
                          <w:marTop w:val="0"/>
                          <w:marBottom w:val="0"/>
                          <w:divBdr>
                            <w:top w:val="none" w:sz="0" w:space="0" w:color="auto"/>
                            <w:left w:val="none" w:sz="0" w:space="0" w:color="auto"/>
                            <w:bottom w:val="none" w:sz="0" w:space="0" w:color="auto"/>
                            <w:right w:val="none" w:sz="0" w:space="0" w:color="auto"/>
                          </w:divBdr>
                          <w:divsChild>
                            <w:div w:id="1683320549">
                              <w:marLeft w:val="0"/>
                              <w:marRight w:val="0"/>
                              <w:marTop w:val="0"/>
                              <w:marBottom w:val="0"/>
                              <w:divBdr>
                                <w:top w:val="none" w:sz="0" w:space="0" w:color="auto"/>
                                <w:left w:val="none" w:sz="0" w:space="0" w:color="auto"/>
                                <w:bottom w:val="none" w:sz="0" w:space="0" w:color="auto"/>
                                <w:right w:val="none" w:sz="0" w:space="0" w:color="auto"/>
                              </w:divBdr>
                            </w:div>
                          </w:divsChild>
                        </w:div>
                        <w:div w:id="1683320554">
                          <w:marLeft w:val="0"/>
                          <w:marRight w:val="0"/>
                          <w:marTop w:val="0"/>
                          <w:marBottom w:val="0"/>
                          <w:divBdr>
                            <w:top w:val="none" w:sz="0" w:space="0" w:color="auto"/>
                            <w:left w:val="none" w:sz="0" w:space="0" w:color="auto"/>
                            <w:bottom w:val="none" w:sz="0" w:space="0" w:color="auto"/>
                            <w:right w:val="none" w:sz="0" w:space="0" w:color="auto"/>
                          </w:divBdr>
                          <w:divsChild>
                            <w:div w:id="1683320569">
                              <w:marLeft w:val="0"/>
                              <w:marRight w:val="0"/>
                              <w:marTop w:val="0"/>
                              <w:marBottom w:val="0"/>
                              <w:divBdr>
                                <w:top w:val="none" w:sz="0" w:space="0" w:color="auto"/>
                                <w:left w:val="none" w:sz="0" w:space="0" w:color="auto"/>
                                <w:bottom w:val="none" w:sz="0" w:space="0" w:color="auto"/>
                                <w:right w:val="none" w:sz="0" w:space="0" w:color="auto"/>
                              </w:divBdr>
                            </w:div>
                          </w:divsChild>
                        </w:div>
                        <w:div w:id="1683320559">
                          <w:marLeft w:val="0"/>
                          <w:marRight w:val="0"/>
                          <w:marTop w:val="0"/>
                          <w:marBottom w:val="0"/>
                          <w:divBdr>
                            <w:top w:val="none" w:sz="0" w:space="0" w:color="auto"/>
                            <w:left w:val="none" w:sz="0" w:space="0" w:color="auto"/>
                            <w:bottom w:val="none" w:sz="0" w:space="0" w:color="auto"/>
                            <w:right w:val="none" w:sz="0" w:space="0" w:color="auto"/>
                          </w:divBdr>
                          <w:divsChild>
                            <w:div w:id="1683320545">
                              <w:marLeft w:val="0"/>
                              <w:marRight w:val="0"/>
                              <w:marTop w:val="0"/>
                              <w:marBottom w:val="0"/>
                              <w:divBdr>
                                <w:top w:val="none" w:sz="0" w:space="0" w:color="auto"/>
                                <w:left w:val="none" w:sz="0" w:space="0" w:color="auto"/>
                                <w:bottom w:val="none" w:sz="0" w:space="0" w:color="auto"/>
                                <w:right w:val="none" w:sz="0" w:space="0" w:color="auto"/>
                              </w:divBdr>
                            </w:div>
                          </w:divsChild>
                        </w:div>
                        <w:div w:id="1683320560">
                          <w:marLeft w:val="0"/>
                          <w:marRight w:val="0"/>
                          <w:marTop w:val="0"/>
                          <w:marBottom w:val="0"/>
                          <w:divBdr>
                            <w:top w:val="none" w:sz="0" w:space="0" w:color="auto"/>
                            <w:left w:val="none" w:sz="0" w:space="0" w:color="auto"/>
                            <w:bottom w:val="none" w:sz="0" w:space="0" w:color="auto"/>
                            <w:right w:val="none" w:sz="0" w:space="0" w:color="auto"/>
                          </w:divBdr>
                          <w:divsChild>
                            <w:div w:id="1683320555">
                              <w:marLeft w:val="0"/>
                              <w:marRight w:val="0"/>
                              <w:marTop w:val="0"/>
                              <w:marBottom w:val="0"/>
                              <w:divBdr>
                                <w:top w:val="none" w:sz="0" w:space="0" w:color="auto"/>
                                <w:left w:val="none" w:sz="0" w:space="0" w:color="auto"/>
                                <w:bottom w:val="none" w:sz="0" w:space="0" w:color="auto"/>
                                <w:right w:val="none" w:sz="0" w:space="0" w:color="auto"/>
                              </w:divBdr>
                            </w:div>
                          </w:divsChild>
                        </w:div>
                        <w:div w:id="1683320564">
                          <w:marLeft w:val="0"/>
                          <w:marRight w:val="0"/>
                          <w:marTop w:val="0"/>
                          <w:marBottom w:val="0"/>
                          <w:divBdr>
                            <w:top w:val="none" w:sz="0" w:space="0" w:color="auto"/>
                            <w:left w:val="none" w:sz="0" w:space="0" w:color="auto"/>
                            <w:bottom w:val="none" w:sz="0" w:space="0" w:color="auto"/>
                            <w:right w:val="none" w:sz="0" w:space="0" w:color="auto"/>
                          </w:divBdr>
                          <w:divsChild>
                            <w:div w:id="1683320565">
                              <w:marLeft w:val="0"/>
                              <w:marRight w:val="0"/>
                              <w:marTop w:val="0"/>
                              <w:marBottom w:val="0"/>
                              <w:divBdr>
                                <w:top w:val="none" w:sz="0" w:space="0" w:color="auto"/>
                                <w:left w:val="none" w:sz="0" w:space="0" w:color="auto"/>
                                <w:bottom w:val="none" w:sz="0" w:space="0" w:color="auto"/>
                                <w:right w:val="none" w:sz="0" w:space="0" w:color="auto"/>
                              </w:divBdr>
                            </w:div>
                          </w:divsChild>
                        </w:div>
                        <w:div w:id="1683320566">
                          <w:marLeft w:val="0"/>
                          <w:marRight w:val="0"/>
                          <w:marTop w:val="0"/>
                          <w:marBottom w:val="0"/>
                          <w:divBdr>
                            <w:top w:val="none" w:sz="0" w:space="0" w:color="auto"/>
                            <w:left w:val="none" w:sz="0" w:space="0" w:color="auto"/>
                            <w:bottom w:val="none" w:sz="0" w:space="0" w:color="auto"/>
                            <w:right w:val="none" w:sz="0" w:space="0" w:color="auto"/>
                          </w:divBdr>
                          <w:divsChild>
                            <w:div w:id="1683320567">
                              <w:marLeft w:val="0"/>
                              <w:marRight w:val="0"/>
                              <w:marTop w:val="0"/>
                              <w:marBottom w:val="0"/>
                              <w:divBdr>
                                <w:top w:val="none" w:sz="0" w:space="0" w:color="auto"/>
                                <w:left w:val="none" w:sz="0" w:space="0" w:color="auto"/>
                                <w:bottom w:val="none" w:sz="0" w:space="0" w:color="auto"/>
                                <w:right w:val="none" w:sz="0" w:space="0" w:color="auto"/>
                              </w:divBdr>
                            </w:div>
                          </w:divsChild>
                        </w:div>
                        <w:div w:id="1683320568">
                          <w:marLeft w:val="0"/>
                          <w:marRight w:val="0"/>
                          <w:marTop w:val="0"/>
                          <w:marBottom w:val="0"/>
                          <w:divBdr>
                            <w:top w:val="none" w:sz="0" w:space="0" w:color="auto"/>
                            <w:left w:val="none" w:sz="0" w:space="0" w:color="auto"/>
                            <w:bottom w:val="none" w:sz="0" w:space="0" w:color="auto"/>
                            <w:right w:val="none" w:sz="0" w:space="0" w:color="auto"/>
                          </w:divBdr>
                          <w:divsChild>
                            <w:div w:id="16833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20553">
      <w:marLeft w:val="0"/>
      <w:marRight w:val="0"/>
      <w:marTop w:val="0"/>
      <w:marBottom w:val="0"/>
      <w:divBdr>
        <w:top w:val="none" w:sz="0" w:space="0" w:color="auto"/>
        <w:left w:val="none" w:sz="0" w:space="0" w:color="auto"/>
        <w:bottom w:val="none" w:sz="0" w:space="0" w:color="auto"/>
        <w:right w:val="none" w:sz="0" w:space="0" w:color="auto"/>
      </w:divBdr>
    </w:div>
    <w:div w:id="1683320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 want A Connected America</vt:lpstr>
    </vt:vector>
  </TitlesOfParts>
  <Company>Loomis-ISC</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want A Connected America</dc:title>
  <dc:creator>Production 2</dc:creator>
  <cp:lastModifiedBy>Sean Jeans Gail</cp:lastModifiedBy>
  <cp:revision>9</cp:revision>
  <cp:lastPrinted>2012-08-03T14:57:00Z</cp:lastPrinted>
  <dcterms:created xsi:type="dcterms:W3CDTF">2016-04-04T23:33:00Z</dcterms:created>
  <dcterms:modified xsi:type="dcterms:W3CDTF">2017-02-23T19:35:00Z</dcterms:modified>
</cp:coreProperties>
</file>